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2C4219" w14:textId="76C6F8C7" w:rsidR="00D0053B" w:rsidRDefault="0035021D" w:rsidP="00A86B8B">
      <w:pPr>
        <w:spacing w:line="480" w:lineRule="auto"/>
        <w:jc w:val="center"/>
        <w:rPr>
          <w:b/>
          <w:color w:val="000000" w:themeColor="text1"/>
        </w:rPr>
      </w:pPr>
      <w:r>
        <w:rPr>
          <w:b/>
          <w:color w:val="000000" w:themeColor="text1"/>
        </w:rPr>
        <w:t>Estudio</w:t>
      </w:r>
      <w:r w:rsidR="00D0053B">
        <w:rPr>
          <w:b/>
          <w:color w:val="000000" w:themeColor="text1"/>
        </w:rPr>
        <w:t xml:space="preserve"> comparativo del </w:t>
      </w:r>
      <w:r w:rsidR="00CE0A87">
        <w:rPr>
          <w:b/>
          <w:color w:val="000000" w:themeColor="text1"/>
        </w:rPr>
        <w:t>Programa</w:t>
      </w:r>
      <w:r w:rsidR="00D0053B">
        <w:rPr>
          <w:b/>
          <w:color w:val="000000" w:themeColor="text1"/>
        </w:rPr>
        <w:t xml:space="preserve"> Ingeniería Industrial de la Universidad Industrial de Santander</w:t>
      </w:r>
    </w:p>
    <w:p w14:paraId="21BFBC07" w14:textId="4D2E7BC8" w:rsidR="00B4053D" w:rsidRPr="001820FC" w:rsidRDefault="001C1AC8" w:rsidP="00476B01">
      <w:pPr>
        <w:spacing w:line="480" w:lineRule="auto"/>
        <w:jc w:val="center"/>
        <w:rPr>
          <w:b/>
          <w:color w:val="000000" w:themeColor="text1"/>
          <w:lang w:val="en-US"/>
        </w:rPr>
      </w:pPr>
      <w:r w:rsidRPr="001820FC">
        <w:rPr>
          <w:b/>
          <w:color w:val="000000" w:themeColor="text1"/>
          <w:lang w:val="en-US"/>
        </w:rPr>
        <w:t>Comparative study of the Industrial Engineering program of the Industrial University of Santander</w:t>
      </w:r>
    </w:p>
    <w:p w14:paraId="38A509BD" w14:textId="59D0E04F" w:rsidR="00A86B8B" w:rsidRPr="001820FC" w:rsidRDefault="00A86B8B" w:rsidP="00FF514A">
      <w:pPr>
        <w:spacing w:line="480" w:lineRule="auto"/>
        <w:rPr>
          <w:b/>
          <w:color w:val="000000" w:themeColor="text1"/>
          <w:lang w:val="en-US"/>
        </w:rPr>
      </w:pPr>
    </w:p>
    <w:p w14:paraId="3D3A2C56" w14:textId="5E86CE75" w:rsidR="00FF514A" w:rsidRPr="00683416" w:rsidRDefault="00FF514A" w:rsidP="00FF514A">
      <w:pPr>
        <w:spacing w:line="480" w:lineRule="auto"/>
        <w:rPr>
          <w:b/>
          <w:color w:val="000000" w:themeColor="text1"/>
        </w:rPr>
      </w:pPr>
      <w:r w:rsidRPr="00683416">
        <w:rPr>
          <w:b/>
          <w:color w:val="000000" w:themeColor="text1"/>
        </w:rPr>
        <w:t>Resumen</w:t>
      </w:r>
    </w:p>
    <w:p w14:paraId="47F3451E" w14:textId="39A93142" w:rsidR="00476289" w:rsidRPr="008247F0" w:rsidRDefault="00D0053B" w:rsidP="00FF514A">
      <w:pPr>
        <w:spacing w:line="480" w:lineRule="auto"/>
        <w:rPr>
          <w:bCs/>
          <w:color w:val="000000" w:themeColor="text1"/>
        </w:rPr>
      </w:pPr>
      <w:r>
        <w:rPr>
          <w:bCs/>
          <w:color w:val="000000" w:themeColor="text1"/>
        </w:rPr>
        <w:t>En el presente artículo de investigación se evalúa el plan de estudios del programa de pregrado de Ingeniería Industrial de la Universidad Industrial de Santander, en contraste con el de otras universidades nacionales e internacionales</w:t>
      </w:r>
      <w:r w:rsidR="007A586D">
        <w:rPr>
          <w:bCs/>
          <w:color w:val="000000" w:themeColor="text1"/>
        </w:rPr>
        <w:t>, a fin d</w:t>
      </w:r>
      <w:r w:rsidR="00510ECB">
        <w:rPr>
          <w:bCs/>
          <w:color w:val="000000" w:themeColor="text1"/>
        </w:rPr>
        <w:t xml:space="preserve">e </w:t>
      </w:r>
      <w:r w:rsidR="009E2768">
        <w:rPr>
          <w:bCs/>
          <w:color w:val="000000" w:themeColor="text1"/>
        </w:rPr>
        <w:t>encontrar diferencias y/o semejanzas significativas,</w:t>
      </w:r>
      <w:r w:rsidR="00B36AF0">
        <w:rPr>
          <w:bCs/>
          <w:color w:val="000000" w:themeColor="text1"/>
        </w:rPr>
        <w:t xml:space="preserve"> </w:t>
      </w:r>
      <w:r w:rsidR="00B3147C">
        <w:rPr>
          <w:bCs/>
          <w:color w:val="000000" w:themeColor="text1"/>
        </w:rPr>
        <w:t>a partir del</w:t>
      </w:r>
      <w:r w:rsidR="007A586D">
        <w:rPr>
          <w:bCs/>
          <w:color w:val="000000" w:themeColor="text1"/>
        </w:rPr>
        <w:t xml:space="preserve"> análisis descriptivo, de enfoque y </w:t>
      </w:r>
      <w:r w:rsidR="00B13421">
        <w:rPr>
          <w:bCs/>
          <w:color w:val="000000" w:themeColor="text1"/>
        </w:rPr>
        <w:t>de clúster</w:t>
      </w:r>
      <w:r w:rsidR="007A586D">
        <w:rPr>
          <w:bCs/>
          <w:color w:val="000000" w:themeColor="text1"/>
        </w:rPr>
        <w:t xml:space="preserve"> de la información recolectada por medio de la </w:t>
      </w:r>
      <w:r w:rsidR="00C106B5">
        <w:rPr>
          <w:bCs/>
          <w:color w:val="000000" w:themeColor="text1"/>
        </w:rPr>
        <w:t>observación</w:t>
      </w:r>
      <w:r w:rsidR="007A586D">
        <w:rPr>
          <w:bCs/>
          <w:color w:val="000000" w:themeColor="text1"/>
        </w:rPr>
        <w:t xml:space="preserve"> documental</w:t>
      </w:r>
      <w:r w:rsidR="00B3147C">
        <w:rPr>
          <w:bCs/>
          <w:color w:val="000000" w:themeColor="text1"/>
        </w:rPr>
        <w:t xml:space="preserve"> de los currículos académicos</w:t>
      </w:r>
      <w:r w:rsidR="00476289">
        <w:rPr>
          <w:bCs/>
          <w:color w:val="000000" w:themeColor="text1"/>
        </w:rPr>
        <w:t xml:space="preserve">. </w:t>
      </w:r>
      <w:r w:rsidR="00476289" w:rsidRPr="00476289">
        <w:rPr>
          <w:bCs/>
          <w:color w:val="000000" w:themeColor="text1"/>
        </w:rPr>
        <w:t xml:space="preserve">Con el estudio se evidencian las brechas y similitudes entre universidades nacionales e internacionales, y el escenario de la </w:t>
      </w:r>
      <w:r w:rsidR="00476289">
        <w:rPr>
          <w:bCs/>
          <w:color w:val="000000" w:themeColor="text1"/>
        </w:rPr>
        <w:t xml:space="preserve">Ingeniería Industrial de la </w:t>
      </w:r>
      <w:r w:rsidR="00476289" w:rsidRPr="00476289">
        <w:rPr>
          <w:bCs/>
          <w:color w:val="000000" w:themeColor="text1"/>
        </w:rPr>
        <w:t xml:space="preserve">Universidad Industrial de Santander frente a estas. Además, se </w:t>
      </w:r>
      <w:r w:rsidR="00476289">
        <w:rPr>
          <w:bCs/>
          <w:color w:val="000000" w:themeColor="text1"/>
        </w:rPr>
        <w:t>concluyen</w:t>
      </w:r>
      <w:r w:rsidR="00476289" w:rsidRPr="00476289">
        <w:rPr>
          <w:bCs/>
          <w:color w:val="000000" w:themeColor="text1"/>
        </w:rPr>
        <w:t xml:space="preserve"> las áreas del conocimiento con mayor intensidad académica</w:t>
      </w:r>
      <w:r w:rsidR="009B2CE0">
        <w:rPr>
          <w:bCs/>
          <w:color w:val="000000" w:themeColor="text1"/>
        </w:rPr>
        <w:t xml:space="preserve"> y aquellas las cuales son levemente significativas</w:t>
      </w:r>
      <w:r w:rsidR="00476289">
        <w:rPr>
          <w:bCs/>
          <w:color w:val="000000" w:themeColor="text1"/>
        </w:rPr>
        <w:t>.</w:t>
      </w:r>
    </w:p>
    <w:p w14:paraId="78299F0D" w14:textId="6FC7B0E7" w:rsidR="000C1C7A" w:rsidRPr="00683416" w:rsidRDefault="000C1C7A" w:rsidP="00FF514A">
      <w:pPr>
        <w:spacing w:line="480" w:lineRule="auto"/>
        <w:rPr>
          <w:color w:val="000000" w:themeColor="text1"/>
          <w:spacing w:val="8"/>
          <w:shd w:val="clear" w:color="auto" w:fill="FFFFFF"/>
        </w:rPr>
      </w:pPr>
    </w:p>
    <w:p w14:paraId="5ADA7F6F" w14:textId="65CAA8FC" w:rsidR="000C1C7A" w:rsidRDefault="000C1C7A" w:rsidP="00FF514A">
      <w:pPr>
        <w:spacing w:line="480" w:lineRule="auto"/>
        <w:rPr>
          <w:color w:val="000000" w:themeColor="text1"/>
          <w:spacing w:val="8"/>
          <w:shd w:val="clear" w:color="auto" w:fill="FFFFFF"/>
        </w:rPr>
      </w:pPr>
      <w:r w:rsidRPr="00683416">
        <w:rPr>
          <w:b/>
          <w:bCs/>
          <w:color w:val="000000" w:themeColor="text1"/>
          <w:spacing w:val="8"/>
          <w:shd w:val="clear" w:color="auto" w:fill="FFFFFF"/>
        </w:rPr>
        <w:t xml:space="preserve">Palabras </w:t>
      </w:r>
      <w:r w:rsidR="007D60E9">
        <w:rPr>
          <w:b/>
          <w:bCs/>
          <w:color w:val="000000" w:themeColor="text1"/>
          <w:spacing w:val="8"/>
          <w:shd w:val="clear" w:color="auto" w:fill="FFFFFF"/>
        </w:rPr>
        <w:t>c</w:t>
      </w:r>
      <w:r w:rsidRPr="00683416">
        <w:rPr>
          <w:b/>
          <w:bCs/>
          <w:color w:val="000000" w:themeColor="text1"/>
          <w:spacing w:val="8"/>
          <w:shd w:val="clear" w:color="auto" w:fill="FFFFFF"/>
        </w:rPr>
        <w:t xml:space="preserve">lave: </w:t>
      </w:r>
      <w:r w:rsidR="0008439F">
        <w:rPr>
          <w:color w:val="000000" w:themeColor="text1"/>
          <w:spacing w:val="8"/>
          <w:shd w:val="clear" w:color="auto" w:fill="FFFFFF"/>
        </w:rPr>
        <w:t xml:space="preserve">Plan de estudios, </w:t>
      </w:r>
      <w:r w:rsidR="00E23DAF">
        <w:rPr>
          <w:color w:val="000000" w:themeColor="text1"/>
          <w:spacing w:val="8"/>
          <w:shd w:val="clear" w:color="auto" w:fill="FFFFFF"/>
        </w:rPr>
        <w:t xml:space="preserve">ingeniería industrial. </w:t>
      </w:r>
      <w:r w:rsidR="0008439F">
        <w:rPr>
          <w:color w:val="000000" w:themeColor="text1"/>
          <w:spacing w:val="8"/>
          <w:shd w:val="clear" w:color="auto" w:fill="FFFFFF"/>
        </w:rPr>
        <w:t xml:space="preserve">universidad, análisis comparativo, </w:t>
      </w:r>
      <w:r w:rsidR="00E23DAF">
        <w:rPr>
          <w:color w:val="000000" w:themeColor="text1"/>
          <w:spacing w:val="8"/>
          <w:shd w:val="clear" w:color="auto" w:fill="FFFFFF"/>
        </w:rPr>
        <w:t>evaluación del currículo.</w:t>
      </w:r>
    </w:p>
    <w:p w14:paraId="51FFFBA0" w14:textId="0B4F87B8" w:rsidR="00B46173" w:rsidRDefault="00B46173" w:rsidP="00FF514A">
      <w:pPr>
        <w:spacing w:line="480" w:lineRule="auto"/>
        <w:rPr>
          <w:color w:val="000000" w:themeColor="text1"/>
          <w:spacing w:val="8"/>
          <w:shd w:val="clear" w:color="auto" w:fill="FFFFFF"/>
        </w:rPr>
      </w:pPr>
    </w:p>
    <w:p w14:paraId="05164C14" w14:textId="43715184" w:rsidR="001C1AC8" w:rsidRDefault="001C1AC8" w:rsidP="00FF514A">
      <w:pPr>
        <w:spacing w:line="480" w:lineRule="auto"/>
        <w:rPr>
          <w:color w:val="000000" w:themeColor="text1"/>
          <w:spacing w:val="8"/>
          <w:shd w:val="clear" w:color="auto" w:fill="FFFFFF"/>
        </w:rPr>
      </w:pPr>
    </w:p>
    <w:p w14:paraId="6D50FBE8" w14:textId="56DCF402" w:rsidR="001C1AC8" w:rsidRDefault="001C1AC8" w:rsidP="00FF514A">
      <w:pPr>
        <w:spacing w:line="480" w:lineRule="auto"/>
        <w:rPr>
          <w:color w:val="000000" w:themeColor="text1"/>
          <w:spacing w:val="8"/>
          <w:shd w:val="clear" w:color="auto" w:fill="FFFFFF"/>
        </w:rPr>
      </w:pPr>
    </w:p>
    <w:p w14:paraId="7589CCF6" w14:textId="4288EA36" w:rsidR="001C1AC8" w:rsidRDefault="001C1AC8" w:rsidP="00FF514A">
      <w:pPr>
        <w:spacing w:line="480" w:lineRule="auto"/>
        <w:rPr>
          <w:color w:val="000000" w:themeColor="text1"/>
          <w:spacing w:val="8"/>
          <w:shd w:val="clear" w:color="auto" w:fill="FFFFFF"/>
        </w:rPr>
      </w:pPr>
    </w:p>
    <w:p w14:paraId="699AC5AA" w14:textId="77777777" w:rsidR="001C1AC8" w:rsidRDefault="001C1AC8" w:rsidP="00FF514A">
      <w:pPr>
        <w:spacing w:line="480" w:lineRule="auto"/>
        <w:rPr>
          <w:color w:val="000000" w:themeColor="text1"/>
          <w:spacing w:val="8"/>
          <w:shd w:val="clear" w:color="auto" w:fill="FFFFFF"/>
        </w:rPr>
      </w:pPr>
    </w:p>
    <w:p w14:paraId="540F33F5" w14:textId="77777777" w:rsidR="001C1AC8" w:rsidRDefault="001C1AC8" w:rsidP="00FF514A">
      <w:pPr>
        <w:spacing w:line="480" w:lineRule="auto"/>
        <w:rPr>
          <w:b/>
          <w:bCs/>
          <w:color w:val="000000" w:themeColor="text1"/>
          <w:spacing w:val="8"/>
          <w:shd w:val="clear" w:color="auto" w:fill="FFFFFF"/>
        </w:rPr>
      </w:pPr>
    </w:p>
    <w:p w14:paraId="244F66FA" w14:textId="77777777" w:rsidR="00633B53" w:rsidRDefault="00633B53" w:rsidP="00FF514A">
      <w:pPr>
        <w:spacing w:line="480" w:lineRule="auto"/>
        <w:rPr>
          <w:b/>
          <w:bCs/>
          <w:color w:val="000000" w:themeColor="text1"/>
          <w:spacing w:val="8"/>
          <w:shd w:val="clear" w:color="auto" w:fill="FFFFFF"/>
        </w:rPr>
      </w:pPr>
    </w:p>
    <w:p w14:paraId="145A5672" w14:textId="0C9DFF14" w:rsidR="00B46173" w:rsidRPr="001820FC" w:rsidRDefault="00B46173" w:rsidP="00FF514A">
      <w:pPr>
        <w:spacing w:line="480" w:lineRule="auto"/>
        <w:rPr>
          <w:b/>
          <w:bCs/>
          <w:color w:val="000000" w:themeColor="text1"/>
          <w:spacing w:val="8"/>
          <w:shd w:val="clear" w:color="auto" w:fill="FFFFFF"/>
          <w:lang w:val="en-US"/>
        </w:rPr>
      </w:pPr>
      <w:r w:rsidRPr="001820FC">
        <w:rPr>
          <w:b/>
          <w:bCs/>
          <w:color w:val="000000" w:themeColor="text1"/>
          <w:spacing w:val="8"/>
          <w:shd w:val="clear" w:color="auto" w:fill="FFFFFF"/>
          <w:lang w:val="en-US"/>
        </w:rPr>
        <w:t>Abstract</w:t>
      </w:r>
    </w:p>
    <w:p w14:paraId="7314BBBF" w14:textId="545D7140" w:rsidR="00B46173" w:rsidRPr="001820FC" w:rsidRDefault="00622C6E" w:rsidP="00FF514A">
      <w:pPr>
        <w:spacing w:line="480" w:lineRule="auto"/>
        <w:rPr>
          <w:color w:val="000000" w:themeColor="text1"/>
          <w:spacing w:val="8"/>
          <w:shd w:val="clear" w:color="auto" w:fill="FFFFFF"/>
          <w:lang w:val="en-US"/>
        </w:rPr>
      </w:pPr>
      <w:r w:rsidRPr="001820FC">
        <w:rPr>
          <w:color w:val="000000" w:themeColor="text1"/>
          <w:spacing w:val="8"/>
          <w:shd w:val="clear" w:color="auto" w:fill="FFFFFF"/>
          <w:lang w:val="en-US"/>
        </w:rPr>
        <w:t xml:space="preserve">This </w:t>
      </w:r>
      <w:r w:rsidR="001446DE">
        <w:rPr>
          <w:color w:val="000000" w:themeColor="text1"/>
          <w:spacing w:val="8"/>
          <w:shd w:val="clear" w:color="auto" w:fill="FFFFFF"/>
          <w:lang w:val="en-US"/>
        </w:rPr>
        <w:t>r</w:t>
      </w:r>
      <w:r w:rsidRPr="001820FC">
        <w:rPr>
          <w:color w:val="000000" w:themeColor="text1"/>
          <w:spacing w:val="8"/>
          <w:shd w:val="clear" w:color="auto" w:fill="FFFFFF"/>
          <w:lang w:val="en-US"/>
        </w:rPr>
        <w:t xml:space="preserve">esearch article evaluates the curriculum of the Industrial Engineering undergraduate program at the </w:t>
      </w:r>
      <w:r w:rsidR="00717C29" w:rsidRPr="001820FC">
        <w:rPr>
          <w:color w:val="000000" w:themeColor="text1"/>
          <w:spacing w:val="8"/>
          <w:shd w:val="clear" w:color="auto" w:fill="FFFFFF"/>
          <w:lang w:val="en-US"/>
        </w:rPr>
        <w:t>Industrial University of Santander, in contrast with that of other national and international universities, in order to find significant differences and/or similar</w:t>
      </w:r>
      <w:r w:rsidR="00515428">
        <w:rPr>
          <w:color w:val="000000" w:themeColor="text1"/>
          <w:spacing w:val="8"/>
          <w:shd w:val="clear" w:color="auto" w:fill="FFFFFF"/>
          <w:lang w:val="en-US"/>
        </w:rPr>
        <w:t>i</w:t>
      </w:r>
      <w:r w:rsidR="00717C29" w:rsidRPr="001820FC">
        <w:rPr>
          <w:color w:val="000000" w:themeColor="text1"/>
          <w:spacing w:val="8"/>
          <w:shd w:val="clear" w:color="auto" w:fill="FFFFFF"/>
          <w:lang w:val="en-US"/>
        </w:rPr>
        <w:t>ties, based on the descriptive, focus and cluster analysis of the information collected through the documentary observation of the academic curriculum. The study shows the gaps and similarities between national and international universities, and the scenario of Industrial Engineering at the Industrial University of Santander in relation to these. In addition, the areas of knowledge with greater academic intensity and those which are slightly significant are concluded.</w:t>
      </w:r>
    </w:p>
    <w:p w14:paraId="3D3AF270" w14:textId="77777777" w:rsidR="00717C29" w:rsidRPr="001820FC" w:rsidRDefault="00717C29" w:rsidP="00FF514A">
      <w:pPr>
        <w:spacing w:line="480" w:lineRule="auto"/>
        <w:rPr>
          <w:color w:val="000000" w:themeColor="text1"/>
          <w:spacing w:val="8"/>
          <w:shd w:val="clear" w:color="auto" w:fill="FFFFFF"/>
          <w:lang w:val="en-US"/>
        </w:rPr>
      </w:pPr>
    </w:p>
    <w:p w14:paraId="39193359" w14:textId="4C976EDB" w:rsidR="00603C2B" w:rsidRPr="001820FC" w:rsidRDefault="001B2FAB" w:rsidP="00E23DAF">
      <w:pPr>
        <w:spacing w:line="480" w:lineRule="auto"/>
        <w:divId w:val="567154861"/>
        <w:rPr>
          <w:iCs/>
          <w:color w:val="000000" w:themeColor="text1"/>
          <w:sz w:val="20"/>
          <w:szCs w:val="20"/>
          <w:u w:val="single"/>
          <w:lang w:val="en-US"/>
        </w:rPr>
      </w:pPr>
      <w:r w:rsidRPr="001820FC">
        <w:rPr>
          <w:b/>
          <w:bCs/>
          <w:color w:val="000000" w:themeColor="text1"/>
          <w:spacing w:val="8"/>
          <w:shd w:val="clear" w:color="auto" w:fill="FFFFFF"/>
          <w:lang w:val="en-US"/>
        </w:rPr>
        <w:t>Keywords</w:t>
      </w:r>
      <w:r w:rsidR="00B46173" w:rsidRPr="001820FC">
        <w:rPr>
          <w:b/>
          <w:bCs/>
          <w:color w:val="000000" w:themeColor="text1"/>
          <w:spacing w:val="8"/>
          <w:shd w:val="clear" w:color="auto" w:fill="FFFFFF"/>
          <w:lang w:val="en-US"/>
        </w:rPr>
        <w:t xml:space="preserve">: </w:t>
      </w:r>
      <w:r w:rsidR="00B57066" w:rsidRPr="001820FC">
        <w:rPr>
          <w:color w:val="000000" w:themeColor="text1"/>
          <w:spacing w:val="8"/>
          <w:shd w:val="clear" w:color="auto" w:fill="FFFFFF"/>
          <w:lang w:val="en-US"/>
        </w:rPr>
        <w:t>Curriculum,</w:t>
      </w:r>
      <w:r w:rsidR="00B57066" w:rsidRPr="001820FC">
        <w:rPr>
          <w:b/>
          <w:bCs/>
          <w:color w:val="000000" w:themeColor="text1"/>
          <w:spacing w:val="8"/>
          <w:shd w:val="clear" w:color="auto" w:fill="FFFFFF"/>
          <w:lang w:val="en-US"/>
        </w:rPr>
        <w:t xml:space="preserve"> </w:t>
      </w:r>
      <w:r w:rsidR="00B57066" w:rsidRPr="001820FC">
        <w:rPr>
          <w:color w:val="000000" w:themeColor="text1"/>
          <w:spacing w:val="8"/>
          <w:shd w:val="clear" w:color="auto" w:fill="FFFFFF"/>
          <w:lang w:val="en-US"/>
        </w:rPr>
        <w:t>industrial engineering, University, comparative analysis, c</w:t>
      </w:r>
      <w:r w:rsidR="00E23DAF" w:rsidRPr="001820FC">
        <w:rPr>
          <w:color w:val="000000" w:themeColor="text1"/>
          <w:spacing w:val="8"/>
          <w:shd w:val="clear" w:color="auto" w:fill="FFFFFF"/>
          <w:lang w:val="en-US"/>
        </w:rPr>
        <w:t>urriculum evaluation</w:t>
      </w:r>
      <w:r w:rsidR="00B57066" w:rsidRPr="001820FC">
        <w:rPr>
          <w:color w:val="000000" w:themeColor="text1"/>
          <w:spacing w:val="8"/>
          <w:shd w:val="clear" w:color="auto" w:fill="FFFFFF"/>
          <w:lang w:val="en-US"/>
        </w:rPr>
        <w:t>.</w:t>
      </w:r>
      <w:r w:rsidR="00681C18" w:rsidRPr="001820FC">
        <w:rPr>
          <w:rStyle w:val="Textoennegrita"/>
          <w:b w:val="0"/>
          <w:bCs w:val="0"/>
          <w:color w:val="000000" w:themeColor="text1"/>
          <w:spacing w:val="8"/>
          <w:sz w:val="20"/>
          <w:szCs w:val="20"/>
          <w:u w:val="single"/>
          <w:lang w:val="en-US"/>
        </w:rPr>
        <w:t xml:space="preserve"> </w:t>
      </w:r>
    </w:p>
    <w:p w14:paraId="0C69000A" w14:textId="265F4562" w:rsidR="00B86D7A" w:rsidRPr="001820FC" w:rsidRDefault="00CA2D88" w:rsidP="00E312D9">
      <w:pPr>
        <w:spacing w:line="480" w:lineRule="auto"/>
        <w:rPr>
          <w:b/>
          <w:bCs/>
          <w:color w:val="000000" w:themeColor="text1"/>
          <w:lang w:val="en-US"/>
        </w:rPr>
      </w:pPr>
      <w:r w:rsidRPr="001820FC">
        <w:rPr>
          <w:b/>
          <w:bCs/>
          <w:color w:val="000000" w:themeColor="text1"/>
          <w:lang w:val="en-US"/>
        </w:rPr>
        <w:br w:type="page"/>
      </w:r>
    </w:p>
    <w:p w14:paraId="1BD509AF" w14:textId="56E14648" w:rsidR="00B80FDC" w:rsidRDefault="00B80FDC" w:rsidP="006C1CBD">
      <w:pPr>
        <w:spacing w:line="480" w:lineRule="auto"/>
        <w:jc w:val="center"/>
        <w:rPr>
          <w:rFonts w:ascii="TimesNewRomanPSMT" w:hAnsi="TimesNewRomanPSMT" w:cs="TimesNewRomanPSMT"/>
          <w:b/>
        </w:rPr>
      </w:pPr>
      <w:r>
        <w:rPr>
          <w:rFonts w:ascii="TimesNewRomanPSMT" w:hAnsi="TimesNewRomanPSMT" w:cs="TimesNewRomanPSMT"/>
          <w:b/>
        </w:rPr>
        <w:lastRenderedPageBreak/>
        <w:t>Introducción</w:t>
      </w:r>
    </w:p>
    <w:p w14:paraId="6AFD5DD9" w14:textId="77777777" w:rsidR="00900134" w:rsidRPr="00900134" w:rsidRDefault="00900134" w:rsidP="000B5D3E">
      <w:pPr>
        <w:spacing w:line="480" w:lineRule="auto"/>
        <w:ind w:firstLine="708"/>
        <w:rPr>
          <w:color w:val="000000" w:themeColor="text1"/>
          <w:spacing w:val="8"/>
          <w:shd w:val="clear" w:color="auto" w:fill="FFFFFF"/>
        </w:rPr>
      </w:pPr>
      <w:r w:rsidRPr="00900134">
        <w:rPr>
          <w:color w:val="000000" w:themeColor="text1"/>
          <w:spacing w:val="8"/>
          <w:shd w:val="clear" w:color="auto" w:fill="FFFFFF"/>
        </w:rPr>
        <w:t xml:space="preserve">La problemática que más aqueja a las universidades es la preparación académica y profesional con la que sus estudiantes se desarrollan con base en los planes de estudio que ofertan, pues estos deben de actualizarse al ritmo que el entorno lo hace. </w:t>
      </w:r>
    </w:p>
    <w:p w14:paraId="5302C21B" w14:textId="77777777" w:rsidR="000C5BCD" w:rsidRDefault="00900134" w:rsidP="000B5D3E">
      <w:pPr>
        <w:spacing w:line="480" w:lineRule="auto"/>
        <w:ind w:firstLine="708"/>
        <w:rPr>
          <w:color w:val="000000" w:themeColor="text1"/>
          <w:spacing w:val="8"/>
          <w:shd w:val="clear" w:color="auto" w:fill="FFFFFF"/>
        </w:rPr>
      </w:pPr>
      <w:r w:rsidRPr="00900134">
        <w:rPr>
          <w:color w:val="000000" w:themeColor="text1"/>
          <w:spacing w:val="8"/>
          <w:shd w:val="clear" w:color="auto" w:fill="FFFFFF"/>
        </w:rPr>
        <w:t>El diseño y el desarrollo del plan de estudios son fundamentales para el éxito de las carreras de ingeniería y para sus profesionales que aspiran a tener una alta empleabilidad, puesto que, cada vez, el entorno y la demanda educativa de las organizaciones y estudiantes evolucionan (</w:t>
      </w:r>
      <w:proofErr w:type="spellStart"/>
      <w:r w:rsidRPr="00900134">
        <w:rPr>
          <w:color w:val="000000" w:themeColor="text1"/>
          <w:spacing w:val="8"/>
          <w:shd w:val="clear" w:color="auto" w:fill="FFFFFF"/>
        </w:rPr>
        <w:t>Buyurgan</w:t>
      </w:r>
      <w:proofErr w:type="spellEnd"/>
      <w:r w:rsidRPr="00900134">
        <w:rPr>
          <w:color w:val="000000" w:themeColor="text1"/>
          <w:spacing w:val="8"/>
          <w:shd w:val="clear" w:color="auto" w:fill="FFFFFF"/>
        </w:rPr>
        <w:t xml:space="preserve"> y </w:t>
      </w:r>
      <w:proofErr w:type="spellStart"/>
      <w:r w:rsidRPr="00900134">
        <w:rPr>
          <w:color w:val="000000" w:themeColor="text1"/>
          <w:spacing w:val="8"/>
          <w:shd w:val="clear" w:color="auto" w:fill="FFFFFF"/>
        </w:rPr>
        <w:t>Kiassat</w:t>
      </w:r>
      <w:proofErr w:type="spellEnd"/>
      <w:r w:rsidRPr="00900134">
        <w:rPr>
          <w:color w:val="000000" w:themeColor="text1"/>
          <w:spacing w:val="8"/>
          <w:shd w:val="clear" w:color="auto" w:fill="FFFFFF"/>
        </w:rPr>
        <w:t>, 2017).</w:t>
      </w:r>
      <w:r w:rsidR="000C5BCD">
        <w:rPr>
          <w:color w:val="000000" w:themeColor="text1"/>
          <w:spacing w:val="8"/>
          <w:shd w:val="clear" w:color="auto" w:fill="FFFFFF"/>
        </w:rPr>
        <w:t xml:space="preserve"> </w:t>
      </w:r>
    </w:p>
    <w:p w14:paraId="201EE271" w14:textId="77917949" w:rsidR="00900134" w:rsidRPr="00900134" w:rsidRDefault="00900134" w:rsidP="002F08F9">
      <w:pPr>
        <w:spacing w:line="480" w:lineRule="auto"/>
        <w:rPr>
          <w:color w:val="000000" w:themeColor="text1"/>
          <w:spacing w:val="8"/>
          <w:shd w:val="clear" w:color="auto" w:fill="FFFFFF"/>
        </w:rPr>
      </w:pPr>
      <w:r w:rsidRPr="00900134">
        <w:rPr>
          <w:color w:val="000000" w:themeColor="text1"/>
          <w:spacing w:val="8"/>
          <w:shd w:val="clear" w:color="auto" w:fill="FFFFFF"/>
        </w:rPr>
        <w:t>La importancia de la evaluación curricular y de los contenidos programáticos de sus asignaturas no radica únicamente en hacer frente a los cambios del mundo laboral en el entorno cercano a las universidades</w:t>
      </w:r>
      <w:r w:rsidR="00183C4B">
        <w:rPr>
          <w:color w:val="000000" w:themeColor="text1"/>
          <w:spacing w:val="8"/>
          <w:shd w:val="clear" w:color="auto" w:fill="FFFFFF"/>
        </w:rPr>
        <w:t>, pues l</w:t>
      </w:r>
      <w:r w:rsidRPr="00900134">
        <w:rPr>
          <w:color w:val="000000" w:themeColor="text1"/>
          <w:spacing w:val="8"/>
          <w:shd w:val="clear" w:color="auto" w:fill="FFFFFF"/>
        </w:rPr>
        <w:t xml:space="preserve">as generaciones de estudiantes de ingeniería también tendrán éxito si los planes de estudio se concentran en seguir altos estándares de calidad mundial para permitirles abrirse campo en el exterior, así como sugieren </w:t>
      </w:r>
      <w:proofErr w:type="spellStart"/>
      <w:r w:rsidRPr="00900134">
        <w:rPr>
          <w:color w:val="000000" w:themeColor="text1"/>
          <w:spacing w:val="8"/>
          <w:shd w:val="clear" w:color="auto" w:fill="FFFFFF"/>
        </w:rPr>
        <w:t>Andejany</w:t>
      </w:r>
      <w:proofErr w:type="spellEnd"/>
      <w:r w:rsidRPr="00900134">
        <w:rPr>
          <w:color w:val="000000" w:themeColor="text1"/>
          <w:spacing w:val="8"/>
          <w:shd w:val="clear" w:color="auto" w:fill="FFFFFF"/>
        </w:rPr>
        <w:t xml:space="preserve"> et al. (2019), sobre la importancia de alcanzar la acreditación ABET y otras similares.</w:t>
      </w:r>
    </w:p>
    <w:p w14:paraId="5BE1BBC7" w14:textId="77777777" w:rsidR="00900134" w:rsidRPr="00900134" w:rsidRDefault="00900134" w:rsidP="000B5D3E">
      <w:pPr>
        <w:spacing w:line="480" w:lineRule="auto"/>
        <w:ind w:firstLine="708"/>
        <w:rPr>
          <w:color w:val="000000" w:themeColor="text1"/>
          <w:spacing w:val="8"/>
          <w:shd w:val="clear" w:color="auto" w:fill="FFFFFF"/>
        </w:rPr>
      </w:pPr>
      <w:r w:rsidRPr="00900134">
        <w:rPr>
          <w:color w:val="000000" w:themeColor="text1"/>
          <w:spacing w:val="8"/>
          <w:shd w:val="clear" w:color="auto" w:fill="FFFFFF"/>
        </w:rPr>
        <w:t>La mayor parte de las investigaciones sobre la presente temática se han basado en metodologías tales como la revisión documental, donde se hace énfasis en la revisión de los planes de estudio y documentos correspondientes a los programas académicos. Pero estos análisis curriculares no se realizan de manera individual, pues normalmente se complementan con encuestas y entrevistas, buscando la opinión de diferentes actores interesados en el diseño curricular. Asimismo, se han empleado los estudios comparativos de los planes de estudio con otras universidades como referencia para posibles mejoras.</w:t>
      </w:r>
    </w:p>
    <w:p w14:paraId="7DED9A01" w14:textId="30687EC6" w:rsidR="00900134" w:rsidRPr="00900134" w:rsidRDefault="00900134" w:rsidP="000B5D3E">
      <w:pPr>
        <w:spacing w:line="480" w:lineRule="auto"/>
        <w:ind w:firstLine="708"/>
        <w:rPr>
          <w:color w:val="000000" w:themeColor="text1"/>
          <w:spacing w:val="8"/>
          <w:shd w:val="clear" w:color="auto" w:fill="FFFFFF"/>
        </w:rPr>
      </w:pPr>
      <w:r w:rsidRPr="00900134">
        <w:rPr>
          <w:color w:val="000000" w:themeColor="text1"/>
          <w:spacing w:val="8"/>
          <w:shd w:val="clear" w:color="auto" w:fill="FFFFFF"/>
        </w:rPr>
        <w:lastRenderedPageBreak/>
        <w:t xml:space="preserve">En Colombia y el mundo, en los últimos años, se han fortalecido aún más las investigaciones en pro de la gestión del conocimiento de las universidades, al evaluar los currículos académicos que ofrecen sus distintos programas profesionales, ya sea de carreras de ingeniería u otras. A nivel nacional, se encuentran trabajos como los de Rangel y Duque (2020), </w:t>
      </w:r>
      <w:proofErr w:type="spellStart"/>
      <w:r w:rsidRPr="00900134">
        <w:rPr>
          <w:color w:val="000000" w:themeColor="text1"/>
          <w:spacing w:val="8"/>
          <w:shd w:val="clear" w:color="auto" w:fill="FFFFFF"/>
        </w:rPr>
        <w:t>Alzate</w:t>
      </w:r>
      <w:proofErr w:type="spellEnd"/>
      <w:r w:rsidRPr="00900134">
        <w:rPr>
          <w:color w:val="000000" w:themeColor="text1"/>
          <w:spacing w:val="8"/>
          <w:shd w:val="clear" w:color="auto" w:fill="FFFFFF"/>
        </w:rPr>
        <w:t xml:space="preserve"> et al. (2019), Arquez y Garzón (2016) y Ríos (2012)</w:t>
      </w:r>
      <w:r w:rsidR="00056DBE">
        <w:rPr>
          <w:color w:val="000000" w:themeColor="text1"/>
          <w:spacing w:val="8"/>
          <w:shd w:val="clear" w:color="auto" w:fill="FFFFFF"/>
        </w:rPr>
        <w:t>.</w:t>
      </w:r>
    </w:p>
    <w:p w14:paraId="649B275B" w14:textId="661227D8" w:rsidR="00CD577D" w:rsidRDefault="00900134" w:rsidP="000F0ED8">
      <w:pPr>
        <w:spacing w:line="480" w:lineRule="auto"/>
        <w:ind w:firstLine="708"/>
        <w:rPr>
          <w:color w:val="000000" w:themeColor="text1"/>
          <w:spacing w:val="8"/>
          <w:shd w:val="clear" w:color="auto" w:fill="FFFFFF"/>
        </w:rPr>
      </w:pPr>
      <w:r w:rsidRPr="00900134">
        <w:rPr>
          <w:color w:val="000000" w:themeColor="text1"/>
          <w:spacing w:val="8"/>
          <w:shd w:val="clear" w:color="auto" w:fill="FFFFFF"/>
        </w:rPr>
        <w:t>Estos hallazgos permiten plantear la necesidad de la realización d</w:t>
      </w:r>
      <w:r w:rsidR="00FE1E71">
        <w:rPr>
          <w:color w:val="000000" w:themeColor="text1"/>
          <w:spacing w:val="8"/>
          <w:shd w:val="clear" w:color="auto" w:fill="FFFFFF"/>
        </w:rPr>
        <w:t>e la</w:t>
      </w:r>
      <w:r w:rsidR="00E312D9">
        <w:rPr>
          <w:color w:val="000000" w:themeColor="text1"/>
          <w:spacing w:val="8"/>
          <w:shd w:val="clear" w:color="auto" w:fill="FFFFFF"/>
        </w:rPr>
        <w:t xml:space="preserve"> </w:t>
      </w:r>
      <w:r w:rsidR="00FE1E71">
        <w:rPr>
          <w:color w:val="000000" w:themeColor="text1"/>
          <w:spacing w:val="8"/>
          <w:shd w:val="clear" w:color="auto" w:fill="FFFFFF"/>
        </w:rPr>
        <w:t>investigación</w:t>
      </w:r>
      <w:r w:rsidR="00E312D9">
        <w:rPr>
          <w:color w:val="000000" w:themeColor="text1"/>
          <w:spacing w:val="8"/>
          <w:shd w:val="clear" w:color="auto" w:fill="FFFFFF"/>
        </w:rPr>
        <w:t xml:space="preserve"> del presente artículo</w:t>
      </w:r>
      <w:r w:rsidRPr="00900134">
        <w:rPr>
          <w:color w:val="000000" w:themeColor="text1"/>
          <w:spacing w:val="8"/>
          <w:shd w:val="clear" w:color="auto" w:fill="FFFFFF"/>
        </w:rPr>
        <w:t>, pues est</w:t>
      </w:r>
      <w:r w:rsidR="00267AB2">
        <w:rPr>
          <w:color w:val="000000" w:themeColor="text1"/>
          <w:spacing w:val="8"/>
          <w:shd w:val="clear" w:color="auto" w:fill="FFFFFF"/>
        </w:rPr>
        <w:t>a</w:t>
      </w:r>
      <w:r w:rsidRPr="00900134">
        <w:rPr>
          <w:color w:val="000000" w:themeColor="text1"/>
          <w:spacing w:val="8"/>
          <w:shd w:val="clear" w:color="auto" w:fill="FFFFFF"/>
        </w:rPr>
        <w:t xml:space="preserve"> se desarrolla con el fin de evaluar el plan de estudios 11 del programa de ingeniería industrial ofertado por la Universidad Industrial de Santander, a partir de la revisión documental de este, y en comparación con el de otras universidades nacionales e internacionales, logrando así que, al contrastarlos, se encuentren diferencias y similitudes para descubrir oportunidades de mejora.</w:t>
      </w:r>
    </w:p>
    <w:p w14:paraId="3A11EC0C" w14:textId="31377A18" w:rsidR="00C115CE" w:rsidRPr="003B1AE1" w:rsidRDefault="007016B4" w:rsidP="00C115CE">
      <w:pPr>
        <w:spacing w:line="480" w:lineRule="auto"/>
        <w:rPr>
          <w:b/>
          <w:bCs/>
          <w:color w:val="000000" w:themeColor="text1"/>
          <w:spacing w:val="8"/>
          <w:shd w:val="clear" w:color="auto" w:fill="FFFFFF"/>
        </w:rPr>
      </w:pPr>
      <w:r>
        <w:rPr>
          <w:b/>
          <w:bCs/>
          <w:color w:val="000000" w:themeColor="text1"/>
          <w:spacing w:val="8"/>
          <w:shd w:val="clear" w:color="auto" w:fill="FFFFFF"/>
        </w:rPr>
        <w:t>Antecedentes</w:t>
      </w:r>
    </w:p>
    <w:p w14:paraId="41EE57FF" w14:textId="77777777" w:rsidR="007016B4" w:rsidRPr="007016B4" w:rsidRDefault="007016B4" w:rsidP="000B5D3E">
      <w:pPr>
        <w:spacing w:line="480" w:lineRule="auto"/>
        <w:ind w:firstLine="708"/>
        <w:rPr>
          <w:color w:val="000000" w:themeColor="text1"/>
          <w:spacing w:val="8"/>
          <w:shd w:val="clear" w:color="auto" w:fill="FFFFFF"/>
        </w:rPr>
      </w:pPr>
      <w:r w:rsidRPr="007016B4">
        <w:rPr>
          <w:color w:val="000000" w:themeColor="text1"/>
          <w:spacing w:val="8"/>
          <w:shd w:val="clear" w:color="auto" w:fill="FFFFFF"/>
        </w:rPr>
        <w:t xml:space="preserve">El programa de ingeniería industrial de la Universidad Industrial de Santander, desde su creación ha venido aumentando la calidad de su oferta, convirtiéndose en pionera del programa a nivel nacional. </w:t>
      </w:r>
    </w:p>
    <w:p w14:paraId="6FB2B729" w14:textId="12ADDA6C" w:rsidR="007016B4" w:rsidRPr="007016B4" w:rsidRDefault="007016B4" w:rsidP="000B5D3E">
      <w:pPr>
        <w:spacing w:line="480" w:lineRule="auto"/>
        <w:ind w:firstLine="708"/>
        <w:rPr>
          <w:color w:val="000000" w:themeColor="text1"/>
          <w:spacing w:val="8"/>
          <w:shd w:val="clear" w:color="auto" w:fill="FFFFFF"/>
        </w:rPr>
      </w:pPr>
      <w:r w:rsidRPr="007016B4">
        <w:rPr>
          <w:color w:val="000000" w:themeColor="text1"/>
          <w:spacing w:val="8"/>
          <w:shd w:val="clear" w:color="auto" w:fill="FFFFFF"/>
        </w:rPr>
        <w:t xml:space="preserve">Durante la rectoría del profesor Rodolfo Low Maus, el 29 de octubre de 1958 se creó el programa de Ingeniería Industrial en la UIS, siendo en Colombia la primera en este campo. Ya en 1961, la UIS tuvo sus primeros egresados del programa, los cuales iniciaron cursando 9 semestres, y finalizaron con 5 ofertas de trabajo, comenta Enrique Sierra </w:t>
      </w:r>
      <w:proofErr w:type="spellStart"/>
      <w:r w:rsidRPr="007016B4">
        <w:rPr>
          <w:color w:val="000000" w:themeColor="text1"/>
          <w:spacing w:val="8"/>
          <w:shd w:val="clear" w:color="auto" w:fill="FFFFFF"/>
        </w:rPr>
        <w:t>Barreneche</w:t>
      </w:r>
      <w:proofErr w:type="spellEnd"/>
      <w:r w:rsidRPr="007016B4">
        <w:rPr>
          <w:color w:val="000000" w:themeColor="text1"/>
          <w:spacing w:val="8"/>
          <w:shd w:val="clear" w:color="auto" w:fill="FFFFFF"/>
        </w:rPr>
        <w:t xml:space="preserve">, uno de los primeros egresados, en su visita a la Escuela de Estudios Industriales y </w:t>
      </w:r>
      <w:r w:rsidR="00A050FA">
        <w:rPr>
          <w:color w:val="000000" w:themeColor="text1"/>
          <w:spacing w:val="8"/>
          <w:shd w:val="clear" w:color="auto" w:fill="FFFFFF"/>
        </w:rPr>
        <w:t>Em</w:t>
      </w:r>
      <w:r w:rsidRPr="007016B4">
        <w:rPr>
          <w:color w:val="000000" w:themeColor="text1"/>
          <w:spacing w:val="8"/>
          <w:shd w:val="clear" w:color="auto" w:fill="FFFFFF"/>
        </w:rPr>
        <w:t xml:space="preserve">presariales en el año 2019.  Hasta la fecha, se ha otorgado el título de Ingeniero Industrial a más de 5000 </w:t>
      </w:r>
      <w:r w:rsidRPr="007016B4">
        <w:rPr>
          <w:color w:val="000000" w:themeColor="text1"/>
          <w:spacing w:val="8"/>
          <w:shd w:val="clear" w:color="auto" w:fill="FFFFFF"/>
        </w:rPr>
        <w:lastRenderedPageBreak/>
        <w:t xml:space="preserve">profesionales que han logrado impactar positivamente en Colombia y el resto del mundo. En la actualidad, junto con la UIS, se ofertan más de 150 programas de Ingeniería Industrial en el país (Universidad Industrial de Santander, 2020), con una durabilidad de 10 semestres.  </w:t>
      </w:r>
    </w:p>
    <w:p w14:paraId="3629A4D1" w14:textId="280DF447" w:rsidR="007016B4" w:rsidRPr="007016B4" w:rsidRDefault="007016B4" w:rsidP="000B5D3E">
      <w:pPr>
        <w:spacing w:line="480" w:lineRule="auto"/>
        <w:ind w:firstLine="708"/>
        <w:rPr>
          <w:color w:val="000000" w:themeColor="text1"/>
          <w:spacing w:val="8"/>
          <w:shd w:val="clear" w:color="auto" w:fill="FFFFFF"/>
        </w:rPr>
      </w:pPr>
      <w:r w:rsidRPr="007016B4">
        <w:rPr>
          <w:color w:val="000000" w:themeColor="text1"/>
          <w:spacing w:val="8"/>
          <w:shd w:val="clear" w:color="auto" w:fill="FFFFFF"/>
        </w:rPr>
        <w:t xml:space="preserve">Es de gran importancia el enfoque al cual el plan de estudios va orientado. La formación del estudiante en Ingeniería Industrial de la UIS se orienta bajo un enfoque de optimización, al análisis, diseño, planeación y control de procesos, centrándose en áreas cruciales para el departamento de Santander, como lo es calzado y confecciones. Sin embargo, otras áreas del conocimiento de la Ingeniería Industrial pueden no fortalecerse, debido a que el ingeniero UIS ya tiene un perfil definido (Universidad Industrial de Santander, </w:t>
      </w:r>
      <w:r w:rsidR="00E312D9">
        <w:rPr>
          <w:color w:val="000000" w:themeColor="text1"/>
          <w:spacing w:val="8"/>
          <w:shd w:val="clear" w:color="auto" w:fill="FFFFFF"/>
        </w:rPr>
        <w:t>2023</w:t>
      </w:r>
      <w:r w:rsidRPr="007016B4">
        <w:rPr>
          <w:color w:val="000000" w:themeColor="text1"/>
          <w:spacing w:val="8"/>
          <w:shd w:val="clear" w:color="auto" w:fill="FFFFFF"/>
        </w:rPr>
        <w:t xml:space="preserve">). </w:t>
      </w:r>
    </w:p>
    <w:p w14:paraId="76A4C8C1" w14:textId="21194ED3" w:rsidR="007016B4" w:rsidRPr="007016B4" w:rsidRDefault="007016B4" w:rsidP="000B5D3E">
      <w:pPr>
        <w:spacing w:line="480" w:lineRule="auto"/>
        <w:ind w:firstLine="708"/>
        <w:rPr>
          <w:color w:val="000000" w:themeColor="text1"/>
          <w:spacing w:val="8"/>
          <w:shd w:val="clear" w:color="auto" w:fill="FFFFFF"/>
        </w:rPr>
      </w:pPr>
      <w:r w:rsidRPr="007016B4">
        <w:rPr>
          <w:color w:val="000000" w:themeColor="text1"/>
          <w:spacing w:val="8"/>
          <w:shd w:val="clear" w:color="auto" w:fill="FFFFFF"/>
        </w:rPr>
        <w:t xml:space="preserve">Villao et al. (2022) y Montenegro (2022) mencionan que la evaluación curricular no es ajena al diseño del plan de estudios, ya que permite comprender la necesidad de actualizarlo de acuerdo con la información que se va recogiendo sobre diferentes procesos pedagógicos, pues permite cuestionar contenidos, actividades, recursos, métodos, tiempos, espacios y escenarios de aprendizaje en búsqueda de mejorar la calidad de la carrera. Es por esto por lo que, al hablar de la calidad de una carrera profesional, González (2022) también hace referencia a la calidad del plan curricular y su autoevaluación con miras a cualquier acreditación, puesto que la diversidad de universidades y carreras genera que las personas interesadas en estudiar desarrollen criterios para reconocer la calidad de las carreras que se imparten. Aunque muchas universidades aplican la evaluación del plan de estudios, no solo lo hacen para asegurar la calidad de la enseñanza, sino también para atraer estudiantes potenciales </w:t>
      </w:r>
      <w:r w:rsidR="004A3BB5">
        <w:rPr>
          <w:color w:val="000000" w:themeColor="text1"/>
          <w:spacing w:val="8"/>
          <w:shd w:val="clear" w:color="auto" w:fill="FFFFFF"/>
        </w:rPr>
        <w:t>(</w:t>
      </w:r>
      <w:proofErr w:type="spellStart"/>
      <w:r w:rsidRPr="007016B4">
        <w:rPr>
          <w:color w:val="000000" w:themeColor="text1"/>
          <w:spacing w:val="8"/>
          <w:shd w:val="clear" w:color="auto" w:fill="FFFFFF"/>
        </w:rPr>
        <w:t>Agrawal</w:t>
      </w:r>
      <w:proofErr w:type="spellEnd"/>
      <w:r w:rsidRPr="007016B4">
        <w:rPr>
          <w:color w:val="000000" w:themeColor="text1"/>
          <w:spacing w:val="8"/>
          <w:shd w:val="clear" w:color="auto" w:fill="FFFFFF"/>
        </w:rPr>
        <w:t xml:space="preserve"> et al.</w:t>
      </w:r>
      <w:r w:rsidR="004A3BB5">
        <w:rPr>
          <w:color w:val="000000" w:themeColor="text1"/>
          <w:spacing w:val="8"/>
          <w:shd w:val="clear" w:color="auto" w:fill="FFFFFF"/>
        </w:rPr>
        <w:t xml:space="preserve">, </w:t>
      </w:r>
      <w:r w:rsidRPr="007016B4">
        <w:rPr>
          <w:color w:val="000000" w:themeColor="text1"/>
          <w:spacing w:val="8"/>
          <w:shd w:val="clear" w:color="auto" w:fill="FFFFFF"/>
        </w:rPr>
        <w:t>2021).</w:t>
      </w:r>
    </w:p>
    <w:p w14:paraId="2AB6845C" w14:textId="77777777" w:rsidR="007016B4" w:rsidRPr="007016B4" w:rsidRDefault="007016B4" w:rsidP="000B5D3E">
      <w:pPr>
        <w:spacing w:line="480" w:lineRule="auto"/>
        <w:ind w:firstLine="708"/>
        <w:rPr>
          <w:color w:val="000000" w:themeColor="text1"/>
          <w:spacing w:val="8"/>
          <w:shd w:val="clear" w:color="auto" w:fill="FFFFFF"/>
        </w:rPr>
      </w:pPr>
      <w:r w:rsidRPr="007016B4">
        <w:rPr>
          <w:color w:val="000000" w:themeColor="text1"/>
          <w:spacing w:val="8"/>
          <w:shd w:val="clear" w:color="auto" w:fill="FFFFFF"/>
        </w:rPr>
        <w:lastRenderedPageBreak/>
        <w:t xml:space="preserve">Para Carrillo et al. (2022), el plan de estudios también requiere ser evaluado permanentemente para una mejora continua de los procesos académicos que ofertan las universidades, analizando diferentes componentes, para saber si está acorde a las nuevas competencias profesionales necesarias. De aquí, que su actualización deba ser permanente, en razón a la velocidad del cambio de conocimientos y tecnologías, nuevas demandas sociales, e incluso, cambios en las mismas profesiones en términos de acción y desempeño, pues la comunidad profesional avanza más rápidamente que la comunidad académica (Sánchez et al, 2019). </w:t>
      </w:r>
    </w:p>
    <w:p w14:paraId="370074CB" w14:textId="25D322E5" w:rsidR="007016B4" w:rsidRPr="007016B4" w:rsidRDefault="007016B4" w:rsidP="000B5D3E">
      <w:pPr>
        <w:spacing w:line="480" w:lineRule="auto"/>
        <w:ind w:firstLine="708"/>
        <w:rPr>
          <w:color w:val="000000" w:themeColor="text1"/>
          <w:spacing w:val="8"/>
          <w:shd w:val="clear" w:color="auto" w:fill="FFFFFF"/>
        </w:rPr>
      </w:pPr>
      <w:r w:rsidRPr="007016B4">
        <w:rPr>
          <w:color w:val="000000" w:themeColor="text1"/>
          <w:spacing w:val="8"/>
          <w:shd w:val="clear" w:color="auto" w:fill="FFFFFF"/>
        </w:rPr>
        <w:t>Por consiguiente, al diseñar un plan de estudios, más específicamente para un programa de ingeniería, se deben considerar varias cuestiones clave, como tener una base sólida en matemáticas y ciencias básicas, junto con un componente de educación general, eso sí, adhiriéndose a los requisitos para las oportunidades de empleo regionales y sin salirse del perfil del egresado de la universidad. Es por esto por lo que, durante el proceso de desarrollo del plan de estudios, se han de considerar la misión y visión de la universidad, así como las expectativas educativas, requisitos del plan de estudios, entre otros (</w:t>
      </w:r>
      <w:proofErr w:type="spellStart"/>
      <w:r w:rsidRPr="007016B4">
        <w:rPr>
          <w:color w:val="000000" w:themeColor="text1"/>
          <w:spacing w:val="8"/>
          <w:shd w:val="clear" w:color="auto" w:fill="FFFFFF"/>
        </w:rPr>
        <w:t>Buyurgan</w:t>
      </w:r>
      <w:proofErr w:type="spellEnd"/>
      <w:r w:rsidRPr="007016B4">
        <w:rPr>
          <w:color w:val="000000" w:themeColor="text1"/>
          <w:spacing w:val="8"/>
          <w:shd w:val="clear" w:color="auto" w:fill="FFFFFF"/>
        </w:rPr>
        <w:t xml:space="preserve"> y </w:t>
      </w:r>
      <w:proofErr w:type="spellStart"/>
      <w:r w:rsidRPr="007016B4">
        <w:rPr>
          <w:color w:val="000000" w:themeColor="text1"/>
          <w:spacing w:val="8"/>
          <w:shd w:val="clear" w:color="auto" w:fill="FFFFFF"/>
        </w:rPr>
        <w:t>Kiassat</w:t>
      </w:r>
      <w:proofErr w:type="spellEnd"/>
      <w:r w:rsidRPr="007016B4">
        <w:rPr>
          <w:color w:val="000000" w:themeColor="text1"/>
          <w:spacing w:val="8"/>
          <w:shd w:val="clear" w:color="auto" w:fill="FFFFFF"/>
        </w:rPr>
        <w:t>, 2017). También se han de tener en cuenta las competencias generales y específicas de un plan de estudios, pues estas están directamente relacionadas con el planteamiento del perfil de egresado y el perfil específico de la carrera, y estas a su vez, van ligadas a las áreas y líneas curriculares del plan de estudios (</w:t>
      </w:r>
      <w:r w:rsidR="000759BF">
        <w:rPr>
          <w:color w:val="000000" w:themeColor="text1"/>
          <w:spacing w:val="8"/>
          <w:shd w:val="clear" w:color="auto" w:fill="FFFFFF"/>
        </w:rPr>
        <w:t>Apolo</w:t>
      </w:r>
      <w:r w:rsidRPr="007016B4">
        <w:rPr>
          <w:color w:val="000000" w:themeColor="text1"/>
          <w:spacing w:val="8"/>
          <w:shd w:val="clear" w:color="auto" w:fill="FFFFFF"/>
        </w:rPr>
        <w:t xml:space="preserve"> et al., 2021). Por tal razón, un plan de estudios debe ofrecer tanta flexibilidad como pueda para que los estudiantes exploren y fortalezcan otros campos de estudio y aprendizaje (</w:t>
      </w:r>
      <w:r w:rsidR="001C7627">
        <w:rPr>
          <w:color w:val="000000" w:themeColor="text1"/>
          <w:spacing w:val="8"/>
          <w:shd w:val="clear" w:color="auto" w:fill="FFFFFF"/>
        </w:rPr>
        <w:t>Chen</w:t>
      </w:r>
      <w:r w:rsidRPr="007016B4">
        <w:rPr>
          <w:color w:val="000000" w:themeColor="text1"/>
          <w:spacing w:val="8"/>
          <w:shd w:val="clear" w:color="auto" w:fill="FFFFFF"/>
        </w:rPr>
        <w:t xml:space="preserve"> et al., 2009), pues esta flexibilidad, </w:t>
      </w:r>
      <w:r w:rsidRPr="007016B4">
        <w:rPr>
          <w:color w:val="000000" w:themeColor="text1"/>
          <w:spacing w:val="8"/>
          <w:shd w:val="clear" w:color="auto" w:fill="FFFFFF"/>
        </w:rPr>
        <w:lastRenderedPageBreak/>
        <w:t xml:space="preserve">permite la búsqueda de una variedad de títulos menores, cursos, oportunidades de estudio en el extranjero, así como programas acelerados de pregrado y posgrado.   </w:t>
      </w:r>
    </w:p>
    <w:p w14:paraId="278D7281" w14:textId="55839CBD" w:rsidR="007016B4" w:rsidRPr="007016B4" w:rsidRDefault="001657F7" w:rsidP="007016B4">
      <w:pPr>
        <w:spacing w:line="480" w:lineRule="auto"/>
        <w:rPr>
          <w:color w:val="000000" w:themeColor="text1"/>
          <w:spacing w:val="8"/>
          <w:shd w:val="clear" w:color="auto" w:fill="FFFFFF"/>
        </w:rPr>
      </w:pPr>
      <w:r>
        <w:rPr>
          <w:color w:val="000000" w:themeColor="text1"/>
          <w:spacing w:val="8"/>
          <w:shd w:val="clear" w:color="auto" w:fill="FFFFFF"/>
        </w:rPr>
        <w:tab/>
      </w:r>
      <w:r w:rsidR="007016B4" w:rsidRPr="007016B4">
        <w:rPr>
          <w:color w:val="000000" w:themeColor="text1"/>
          <w:spacing w:val="8"/>
          <w:shd w:val="clear" w:color="auto" w:fill="FFFFFF"/>
        </w:rPr>
        <w:t>Con lo anterior, se puede evidenciar que no existe un modelo estándar o formato compartido para evaluar los planes de estudio de pregrado, debido a la diversidad de tamaño, alcance y variación de estos en cada facultad y universidad (</w:t>
      </w:r>
      <w:r w:rsidR="001C7627">
        <w:rPr>
          <w:color w:val="000000" w:themeColor="text1"/>
          <w:spacing w:val="8"/>
          <w:shd w:val="clear" w:color="auto" w:fill="FFFFFF"/>
        </w:rPr>
        <w:t>Chen</w:t>
      </w:r>
      <w:r w:rsidR="007016B4" w:rsidRPr="007016B4">
        <w:rPr>
          <w:color w:val="000000" w:themeColor="text1"/>
          <w:spacing w:val="8"/>
          <w:shd w:val="clear" w:color="auto" w:fill="FFFFFF"/>
        </w:rPr>
        <w:t xml:space="preserve"> et al.,2009). </w:t>
      </w:r>
    </w:p>
    <w:p w14:paraId="786E81C5" w14:textId="541DD7EA" w:rsidR="007016B4" w:rsidRDefault="007016B4" w:rsidP="000B5D3E">
      <w:pPr>
        <w:spacing w:line="480" w:lineRule="auto"/>
        <w:ind w:firstLine="708"/>
        <w:rPr>
          <w:color w:val="000000" w:themeColor="text1"/>
          <w:spacing w:val="8"/>
          <w:shd w:val="clear" w:color="auto" w:fill="FFFFFF"/>
        </w:rPr>
      </w:pPr>
      <w:r w:rsidRPr="007016B4">
        <w:rPr>
          <w:color w:val="000000" w:themeColor="text1"/>
          <w:spacing w:val="8"/>
          <w:shd w:val="clear" w:color="auto" w:fill="FFFFFF"/>
        </w:rPr>
        <w:t>Por otro lado, Villa</w:t>
      </w:r>
      <w:r w:rsidR="00B61D52">
        <w:rPr>
          <w:color w:val="000000" w:themeColor="text1"/>
          <w:spacing w:val="8"/>
          <w:shd w:val="clear" w:color="auto" w:fill="FFFFFF"/>
        </w:rPr>
        <w:t>o</w:t>
      </w:r>
      <w:r w:rsidRPr="007016B4">
        <w:rPr>
          <w:color w:val="000000" w:themeColor="text1"/>
          <w:spacing w:val="8"/>
          <w:shd w:val="clear" w:color="auto" w:fill="FFFFFF"/>
        </w:rPr>
        <w:t xml:space="preserve"> et al. (2022) recalca</w:t>
      </w:r>
      <w:r w:rsidR="007F07B5">
        <w:rPr>
          <w:color w:val="000000" w:themeColor="text1"/>
          <w:spacing w:val="8"/>
          <w:shd w:val="clear" w:color="auto" w:fill="FFFFFF"/>
        </w:rPr>
        <w:t>n</w:t>
      </w:r>
      <w:r w:rsidRPr="007016B4">
        <w:rPr>
          <w:color w:val="000000" w:themeColor="text1"/>
          <w:spacing w:val="8"/>
          <w:shd w:val="clear" w:color="auto" w:fill="FFFFFF"/>
        </w:rPr>
        <w:t xml:space="preserve"> el papel de los estudios comparativos de diseños curriculares como un parámetro de referencia para el diagnóstico de problemas, los cuales permiten tener un primer acercamiento a similitudes, diferencias, metodologías y estructura de contenidos en diferentes carreras y países. </w:t>
      </w:r>
    </w:p>
    <w:p w14:paraId="04038BD2" w14:textId="22F29110" w:rsidR="006759C1" w:rsidRDefault="006759C1" w:rsidP="006759C1">
      <w:pPr>
        <w:spacing w:line="480" w:lineRule="auto"/>
        <w:ind w:firstLine="708"/>
      </w:pPr>
      <w:r>
        <w:rPr>
          <w:color w:val="000000" w:themeColor="text1"/>
          <w:spacing w:val="8"/>
          <w:shd w:val="clear" w:color="auto" w:fill="FFFFFF"/>
        </w:rPr>
        <w:t xml:space="preserve">Algunos investigadores en el país han ido abordando estos temas. </w:t>
      </w:r>
      <w:r>
        <w:t>Arquez y Garzón (2016) evaluaron el plan de estudios del programa de Ingeniería Industrial de la Universidad Tecnológica de Bolívar, en relación con la formación que se da con respecto al área de seguridad y salud en el trabajo, en el cual se siguió un esquema metódico basado en entrevistas a profesionales del sector industrial, revisión documental educativo y legislativo, encuestas y observación. Se analizaron los datos recolectados en las encuestas, encontrándose que, de acuerdo con los principales nichos de mercado del área SST y su evolución, las universidades deben estar más a la vanguardia de las necesidades del mercado, puesto que esta siempre vive sufriendo cambios y actualizaciones, surgiendo de esta manera, diversas estrategias a implementar en el plan de estudios de la Universidad.</w:t>
      </w:r>
    </w:p>
    <w:p w14:paraId="32765CCB" w14:textId="7F9A338C" w:rsidR="006759C1" w:rsidRPr="006018F5" w:rsidRDefault="006759C1" w:rsidP="006759C1">
      <w:pPr>
        <w:spacing w:line="480" w:lineRule="auto"/>
        <w:ind w:firstLine="708"/>
        <w:rPr>
          <w:color w:val="000000" w:themeColor="text1"/>
          <w:spacing w:val="8"/>
          <w:shd w:val="clear" w:color="auto" w:fill="FFFFFF"/>
        </w:rPr>
      </w:pPr>
      <w:r>
        <w:lastRenderedPageBreak/>
        <w:t>Por su parte</w:t>
      </w:r>
      <w:r w:rsidR="004F0D51">
        <w:t>,</w:t>
      </w:r>
      <w:r>
        <w:t xml:space="preserve"> Ríos (2012)</w:t>
      </w:r>
      <w:r>
        <w:rPr>
          <w:rStyle w:val="TextocomentarioCar"/>
        </w:rPr>
        <w:t>,</w:t>
      </w:r>
      <w:r>
        <w:t xml:space="preserve"> en su trabajo de la Universidad Pontificia Bolivariana, realizó un análisis comparativo de los programas de pregrado en Ingeniería Industrial en algunos países miembros de la OEA, con el fin de identificar mejores prácticas para ajustar los programas de Ingeniería Industrial en el hemisferio. Se analizaron 17 programas de Ingeniería Industrial de Norte, Centro y Sur América en 9 países, encontrando que, en las asignaturas especializadas de la ingeniería Industrial, las más ofertadas son las pertenecientes a producción y logística, modelaje, administración y finanzas, y análisis de casos.</w:t>
      </w:r>
    </w:p>
    <w:p w14:paraId="3D92E408" w14:textId="6B10D7AE" w:rsidR="002344A6" w:rsidRDefault="007A6AE8" w:rsidP="002344A6">
      <w:pPr>
        <w:spacing w:line="480" w:lineRule="auto"/>
        <w:ind w:firstLine="708"/>
        <w:jc w:val="both"/>
      </w:pPr>
      <w:r>
        <w:t xml:space="preserve">Luego, </w:t>
      </w:r>
      <w:r w:rsidR="002344A6">
        <w:t xml:space="preserve">Rangel y Duque (2020) realizaron un estudio comparativo del programa de Ingeniería Industrial de la Universidad Católica de Colombia con Universidades a nivel Europa, Asia, América, Oceanía y África, encontrando que la implementación de nuevas herramientas en la gestión de proyectos es inevitable. Se requieren nuevas competencias técnicas y tecnológicas, que permitan incorporar inteligencia artificial o cualquier otra herramienta en proyectos como facilitadores en toma de decisiones y desarrollo de estrategias. </w:t>
      </w:r>
    </w:p>
    <w:p w14:paraId="4CF28B91" w14:textId="3E2108EE" w:rsidR="006759C1" w:rsidRPr="007016B4" w:rsidRDefault="002344A6" w:rsidP="002344A6">
      <w:pPr>
        <w:spacing w:line="480" w:lineRule="auto"/>
        <w:ind w:firstLine="708"/>
        <w:rPr>
          <w:color w:val="000000" w:themeColor="text1"/>
          <w:spacing w:val="8"/>
          <w:shd w:val="clear" w:color="auto" w:fill="FFFFFF"/>
        </w:rPr>
      </w:pPr>
      <w:r>
        <w:rPr>
          <w:color w:val="000000" w:themeColor="text1"/>
          <w:spacing w:val="8"/>
          <w:shd w:val="clear" w:color="auto" w:fill="FFFFFF"/>
        </w:rPr>
        <w:t xml:space="preserve">Por último, </w:t>
      </w:r>
      <w:proofErr w:type="spellStart"/>
      <w:r w:rsidR="000416B0">
        <w:t>Alzate</w:t>
      </w:r>
      <w:proofErr w:type="spellEnd"/>
      <w:r w:rsidR="000416B0">
        <w:t xml:space="preserve"> et al. (2019) realizaron un trabajo de investigación de la Universidad de Antioquía sobre el impacto de la transformación curricular en el desempeño de los estudiantes de Ingeniería Industrial en su práctica académica, encontrando que las áreas del conocimiento donde se desarrollaron mayor número de proyectos fueron producción, logística y calidad, seguido por el área administrativa y financiera.</w:t>
      </w:r>
    </w:p>
    <w:p w14:paraId="6E710DAC" w14:textId="2AED9B4E" w:rsidR="006018F5" w:rsidRDefault="00491022" w:rsidP="00DE22BC">
      <w:pPr>
        <w:spacing w:line="480" w:lineRule="auto"/>
        <w:ind w:firstLine="708"/>
        <w:rPr>
          <w:color w:val="000000" w:themeColor="text1"/>
          <w:spacing w:val="8"/>
          <w:shd w:val="clear" w:color="auto" w:fill="FFFFFF"/>
        </w:rPr>
      </w:pPr>
      <w:r>
        <w:rPr>
          <w:color w:val="000000" w:themeColor="text1"/>
          <w:spacing w:val="8"/>
          <w:shd w:val="clear" w:color="auto" w:fill="FFFFFF"/>
        </w:rPr>
        <w:t>Es así como</w:t>
      </w:r>
      <w:r w:rsidR="007016B4" w:rsidRPr="007016B4">
        <w:rPr>
          <w:color w:val="000000" w:themeColor="text1"/>
          <w:spacing w:val="8"/>
          <w:shd w:val="clear" w:color="auto" w:fill="FFFFFF"/>
        </w:rPr>
        <w:t xml:space="preserve">, </w:t>
      </w:r>
      <w:r w:rsidR="0056739D">
        <w:rPr>
          <w:color w:val="000000" w:themeColor="text1"/>
          <w:spacing w:val="8"/>
          <w:shd w:val="clear" w:color="auto" w:fill="FFFFFF"/>
        </w:rPr>
        <w:t>al revisar la literatura</w:t>
      </w:r>
      <w:r w:rsidR="007016B4" w:rsidRPr="007016B4">
        <w:rPr>
          <w:color w:val="000000" w:themeColor="text1"/>
          <w:spacing w:val="8"/>
          <w:shd w:val="clear" w:color="auto" w:fill="FFFFFF"/>
        </w:rPr>
        <w:t xml:space="preserve"> se detecta que el objetivo de todo estudio referente a la evaluación de planes de estudio, ya sea de Ingeniería Industrial u otro programa académico, es en primer lugar, encontrar </w:t>
      </w:r>
      <w:r w:rsidR="007016B4" w:rsidRPr="007016B4">
        <w:rPr>
          <w:color w:val="000000" w:themeColor="text1"/>
          <w:spacing w:val="8"/>
          <w:shd w:val="clear" w:color="auto" w:fill="FFFFFF"/>
        </w:rPr>
        <w:lastRenderedPageBreak/>
        <w:t>oportunidades de mejora ya sea en flexibilidad curricular, integración de nuevas asignaturas o métodos de enseñanza en comparación con otras universidades y, en segundo lugar, cumplir con los requisitos para lograr las acreditaciones pertinentes</w:t>
      </w:r>
      <w:r w:rsidR="002F326D">
        <w:rPr>
          <w:color w:val="000000" w:themeColor="text1"/>
          <w:spacing w:val="8"/>
          <w:shd w:val="clear" w:color="auto" w:fill="FFFFFF"/>
        </w:rPr>
        <w:t>.</w:t>
      </w:r>
    </w:p>
    <w:p w14:paraId="089E8885" w14:textId="77777777" w:rsidR="00CD577D" w:rsidRDefault="00CD577D" w:rsidP="00DE22BC">
      <w:pPr>
        <w:spacing w:line="480" w:lineRule="auto"/>
        <w:ind w:firstLine="708"/>
        <w:rPr>
          <w:color w:val="000000" w:themeColor="text1"/>
          <w:spacing w:val="8"/>
          <w:shd w:val="clear" w:color="auto" w:fill="FFFFFF"/>
        </w:rPr>
      </w:pPr>
    </w:p>
    <w:p w14:paraId="606AF53B" w14:textId="4EECEBF8" w:rsidR="00E70FE8" w:rsidRPr="00426142" w:rsidRDefault="00FD266F" w:rsidP="00426142">
      <w:pPr>
        <w:spacing w:line="480" w:lineRule="auto"/>
        <w:jc w:val="center"/>
        <w:rPr>
          <w:b/>
          <w:bCs/>
          <w:color w:val="000000" w:themeColor="text1"/>
          <w:spacing w:val="8"/>
          <w:shd w:val="clear" w:color="auto" w:fill="FFFFFF"/>
        </w:rPr>
      </w:pPr>
      <w:r w:rsidRPr="00683416">
        <w:rPr>
          <w:b/>
          <w:bCs/>
          <w:color w:val="000000" w:themeColor="text1"/>
          <w:spacing w:val="8"/>
          <w:shd w:val="clear" w:color="auto" w:fill="FFFFFF"/>
        </w:rPr>
        <w:t>Metodología</w:t>
      </w:r>
    </w:p>
    <w:p w14:paraId="2E2CE34B" w14:textId="77C09A23" w:rsidR="00E70FE8" w:rsidRPr="00D117F1" w:rsidRDefault="00D117F1" w:rsidP="00CD577D">
      <w:pPr>
        <w:spacing w:line="480" w:lineRule="auto"/>
        <w:ind w:firstLine="708"/>
        <w:rPr>
          <w:color w:val="000000" w:themeColor="text1"/>
          <w:spacing w:val="8"/>
          <w:shd w:val="clear" w:color="auto" w:fill="FFFFFF"/>
        </w:rPr>
      </w:pPr>
      <w:r>
        <w:rPr>
          <w:color w:val="000000" w:themeColor="text1"/>
          <w:spacing w:val="8"/>
          <w:shd w:val="clear" w:color="auto" w:fill="FFFFFF"/>
        </w:rPr>
        <w:t xml:space="preserve">Los resultados que se informan en este artículo provienen de un proyecto </w:t>
      </w:r>
      <w:r w:rsidR="009472EC">
        <w:rPr>
          <w:color w:val="000000" w:themeColor="text1"/>
          <w:spacing w:val="8"/>
          <w:shd w:val="clear" w:color="auto" w:fill="FFFFFF"/>
        </w:rPr>
        <w:t xml:space="preserve">de investigación más amplio que evaluó el plan de estudios </w:t>
      </w:r>
      <w:r w:rsidR="001706A4">
        <w:rPr>
          <w:color w:val="000000" w:themeColor="text1"/>
          <w:spacing w:val="8"/>
          <w:shd w:val="clear" w:color="auto" w:fill="FFFFFF"/>
        </w:rPr>
        <w:t xml:space="preserve">utilizando </w:t>
      </w:r>
      <w:r w:rsidR="00B43563">
        <w:rPr>
          <w:color w:val="000000" w:themeColor="text1"/>
          <w:spacing w:val="8"/>
          <w:shd w:val="clear" w:color="auto" w:fill="FFFFFF"/>
        </w:rPr>
        <w:t>un</w:t>
      </w:r>
      <w:r w:rsidR="001706A4">
        <w:rPr>
          <w:color w:val="000000" w:themeColor="text1"/>
          <w:spacing w:val="8"/>
          <w:shd w:val="clear" w:color="auto" w:fill="FFFFFF"/>
        </w:rPr>
        <w:t xml:space="preserve"> diseño</w:t>
      </w:r>
      <w:r w:rsidR="00B43563">
        <w:rPr>
          <w:color w:val="000000" w:themeColor="text1"/>
          <w:spacing w:val="8"/>
          <w:shd w:val="clear" w:color="auto" w:fill="FFFFFF"/>
        </w:rPr>
        <w:t xml:space="preserve"> de investigación</w:t>
      </w:r>
      <w:r w:rsidR="001706A4">
        <w:rPr>
          <w:color w:val="000000" w:themeColor="text1"/>
          <w:spacing w:val="8"/>
          <w:shd w:val="clear" w:color="auto" w:fill="FFFFFF"/>
        </w:rPr>
        <w:t xml:space="preserve"> descriptivo.</w:t>
      </w:r>
    </w:p>
    <w:p w14:paraId="47B9778B" w14:textId="6B942344" w:rsidR="00E70FE8" w:rsidRPr="003D2E5E" w:rsidRDefault="00E70FE8" w:rsidP="003D2E5E">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jc w:val="both"/>
        <w:rPr>
          <w:rFonts w:ascii="TimesNewRomanPSMT" w:eastAsia="TimesNewRomanPSMT" w:hAnsi="TimesNewRomanPSMT" w:cs="TimesNewRomanPSMT"/>
          <w:b/>
          <w:lang w:val="es-CO" w:eastAsia="es-ES_tradnl"/>
        </w:rPr>
      </w:pPr>
      <w:r w:rsidRPr="003D2E5E">
        <w:rPr>
          <w:rFonts w:ascii="TimesNewRomanPSMT" w:eastAsia="TimesNewRomanPSMT" w:hAnsi="TimesNewRomanPSMT" w:cs="TimesNewRomanPSMT"/>
          <w:b/>
          <w:lang w:val="es-CO" w:eastAsia="es-ES_tradnl"/>
        </w:rPr>
        <w:t>Población y muestra</w:t>
      </w:r>
    </w:p>
    <w:p w14:paraId="74F34490" w14:textId="088113D6" w:rsidR="003C3C00" w:rsidRPr="00D95909" w:rsidRDefault="00937D10" w:rsidP="000C5BCD">
      <w:pPr>
        <w:spacing w:line="480" w:lineRule="auto"/>
        <w:ind w:firstLine="708"/>
        <w:rPr>
          <w:rFonts w:ascii="TimesNewRomanPSMT" w:hAnsi="TimesNewRomanPSMT" w:cs="TimesNewRomanPSMT"/>
        </w:rPr>
      </w:pPr>
      <w:r>
        <w:rPr>
          <w:rFonts w:ascii="TimesNewRomanPSMT" w:hAnsi="TimesNewRomanPSMT" w:cs="TimesNewRomanPSMT"/>
        </w:rPr>
        <w:t>La población es</w:t>
      </w:r>
      <w:r w:rsidR="008C2DA4">
        <w:rPr>
          <w:rFonts w:ascii="TimesNewRomanPSMT" w:hAnsi="TimesNewRomanPSMT" w:cs="TimesNewRomanPSMT"/>
        </w:rPr>
        <w:t>tuvo</w:t>
      </w:r>
      <w:r>
        <w:rPr>
          <w:rFonts w:ascii="TimesNewRomanPSMT" w:hAnsi="TimesNewRomanPSMT" w:cs="TimesNewRomanPSMT"/>
        </w:rPr>
        <w:t xml:space="preserve"> constituida por las universidades públicas y privadas, nacionales e internacionales que ofertan el programa de Ingeniería Industrial</w:t>
      </w:r>
      <w:r w:rsidR="00D51F35">
        <w:rPr>
          <w:rFonts w:ascii="TimesNewRomanPSMT" w:hAnsi="TimesNewRomanPSMT" w:cs="TimesNewRomanPSMT"/>
        </w:rPr>
        <w:t xml:space="preserve"> que se </w:t>
      </w:r>
      <w:r w:rsidR="00112D70">
        <w:rPr>
          <w:rFonts w:ascii="TimesNewRomanPSMT" w:hAnsi="TimesNewRomanPSMT" w:cs="TimesNewRomanPSMT"/>
        </w:rPr>
        <w:t>encuentran</w:t>
      </w:r>
      <w:r w:rsidR="00D51F35">
        <w:rPr>
          <w:rFonts w:ascii="TimesNewRomanPSMT" w:hAnsi="TimesNewRomanPSMT" w:cs="TimesNewRomanPSMT"/>
        </w:rPr>
        <w:t xml:space="preserve"> dentro de los </w:t>
      </w:r>
      <w:r w:rsidR="00112D70">
        <w:rPr>
          <w:rFonts w:ascii="TimesNewRomanPSMT" w:hAnsi="TimesNewRomanPSMT" w:cs="TimesNewRomanPSMT"/>
        </w:rPr>
        <w:t xml:space="preserve">rankings más importantes de </w:t>
      </w:r>
      <w:r w:rsidR="007E2E38">
        <w:rPr>
          <w:rFonts w:ascii="TimesNewRomanPSMT" w:hAnsi="TimesNewRomanPSMT" w:cs="TimesNewRomanPSMT"/>
        </w:rPr>
        <w:t>educación superior</w:t>
      </w:r>
      <w:r>
        <w:rPr>
          <w:rFonts w:ascii="TimesNewRomanPSMT" w:hAnsi="TimesNewRomanPSMT" w:cs="TimesNewRomanPSMT"/>
        </w:rPr>
        <w:t>.</w:t>
      </w:r>
      <w:r w:rsidR="00E75685">
        <w:rPr>
          <w:rFonts w:ascii="TimesNewRomanPSMT" w:hAnsi="TimesNewRomanPSMT" w:cs="TimesNewRomanPSMT"/>
        </w:rPr>
        <w:t xml:space="preserve"> </w:t>
      </w:r>
      <w:r w:rsidR="00453B8A">
        <w:rPr>
          <w:rFonts w:ascii="TimesNewRomanPSMT" w:hAnsi="TimesNewRomanPSMT" w:cs="TimesNewRomanPSMT"/>
        </w:rPr>
        <w:t>Luego de obtener la lista de universidades potenciales para estudio,</w:t>
      </w:r>
      <w:r w:rsidR="00E75685">
        <w:rPr>
          <w:rFonts w:ascii="TimesNewRomanPSMT" w:hAnsi="TimesNewRomanPSMT" w:cs="TimesNewRomanPSMT"/>
        </w:rPr>
        <w:t xml:space="preserve"> se </w:t>
      </w:r>
      <w:r w:rsidR="00DC105A">
        <w:rPr>
          <w:rFonts w:ascii="TimesNewRomanPSMT" w:hAnsi="TimesNewRomanPSMT" w:cs="TimesNewRomanPSMT"/>
        </w:rPr>
        <w:t>determin</w:t>
      </w:r>
      <w:r w:rsidR="003B5A6E">
        <w:rPr>
          <w:rFonts w:ascii="TimesNewRomanPSMT" w:hAnsi="TimesNewRomanPSMT" w:cs="TimesNewRomanPSMT"/>
        </w:rPr>
        <w:t>ó</w:t>
      </w:r>
      <w:r w:rsidR="00E75685">
        <w:rPr>
          <w:rFonts w:ascii="TimesNewRomanPSMT" w:hAnsi="TimesNewRomanPSMT" w:cs="TimesNewRomanPSMT"/>
        </w:rPr>
        <w:t xml:space="preserve"> </w:t>
      </w:r>
      <w:r w:rsidR="003B5A6E">
        <w:rPr>
          <w:rFonts w:ascii="TimesNewRomanPSMT" w:hAnsi="TimesNewRomanPSMT" w:cs="TimesNewRomanPSMT"/>
        </w:rPr>
        <w:t>la</w:t>
      </w:r>
      <w:r w:rsidR="00E75685">
        <w:rPr>
          <w:rFonts w:ascii="TimesNewRomanPSMT" w:hAnsi="TimesNewRomanPSMT" w:cs="TimesNewRomanPSMT"/>
        </w:rPr>
        <w:t xml:space="preserve"> muestra</w:t>
      </w:r>
      <w:r w:rsidR="003B5A6E">
        <w:rPr>
          <w:rFonts w:ascii="TimesNewRomanPSMT" w:hAnsi="TimesNewRomanPSMT" w:cs="TimesNewRomanPSMT"/>
        </w:rPr>
        <w:t>, la cual</w:t>
      </w:r>
      <w:r w:rsidR="00E75685">
        <w:rPr>
          <w:rFonts w:ascii="TimesNewRomanPSMT" w:hAnsi="TimesNewRomanPSMT" w:cs="TimesNewRomanPSMT"/>
        </w:rPr>
        <w:t xml:space="preserve"> la integra</w:t>
      </w:r>
      <w:r w:rsidR="009C5ACD">
        <w:rPr>
          <w:rFonts w:ascii="TimesNewRomanPSMT" w:hAnsi="TimesNewRomanPSMT" w:cs="TimesNewRomanPSMT"/>
        </w:rPr>
        <w:t>ron</w:t>
      </w:r>
      <w:r w:rsidR="00E75685">
        <w:rPr>
          <w:rFonts w:ascii="TimesNewRomanPSMT" w:hAnsi="TimesNewRomanPSMT" w:cs="TimesNewRomanPSMT"/>
        </w:rPr>
        <w:t xml:space="preserve"> las universidades nacionales e internacionales que dispon</w:t>
      </w:r>
      <w:r w:rsidR="007C08F7">
        <w:rPr>
          <w:rFonts w:ascii="TimesNewRomanPSMT" w:hAnsi="TimesNewRomanPSMT" w:cs="TimesNewRomanPSMT"/>
        </w:rPr>
        <w:t>ían</w:t>
      </w:r>
      <w:r w:rsidR="00F5716C">
        <w:rPr>
          <w:rFonts w:ascii="TimesNewRomanPSMT" w:hAnsi="TimesNewRomanPSMT" w:cs="TimesNewRomanPSMT"/>
        </w:rPr>
        <w:t xml:space="preserve"> del plan de estudios con las asignaturas y créditos </w:t>
      </w:r>
      <w:r w:rsidR="00DC105A">
        <w:rPr>
          <w:rFonts w:ascii="TimesNewRomanPSMT" w:hAnsi="TimesNewRomanPSMT" w:cs="TimesNewRomanPSMT"/>
        </w:rPr>
        <w:t>correspondientes</w:t>
      </w:r>
      <w:r w:rsidR="00F5716C">
        <w:rPr>
          <w:rFonts w:ascii="TimesNewRomanPSMT" w:hAnsi="TimesNewRomanPSMT" w:cs="TimesNewRomanPSMT"/>
        </w:rPr>
        <w:t xml:space="preserve"> a cada semestre</w:t>
      </w:r>
      <w:r w:rsidR="00DC105A">
        <w:rPr>
          <w:rFonts w:ascii="TimesNewRomanPSMT" w:hAnsi="TimesNewRomanPSMT" w:cs="TimesNewRomanPSMT"/>
        </w:rPr>
        <w:t xml:space="preserve"> que compone el programa académico</w:t>
      </w:r>
      <w:r w:rsidR="003B5A6E">
        <w:rPr>
          <w:rFonts w:ascii="TimesNewRomanPSMT" w:hAnsi="TimesNewRomanPSMT" w:cs="TimesNewRomanPSMT"/>
        </w:rPr>
        <w:t xml:space="preserve">. </w:t>
      </w:r>
      <w:r w:rsidR="00F7712B" w:rsidRPr="00F7712B">
        <w:rPr>
          <w:rFonts w:ascii="TimesNewRomanPSMT" w:hAnsi="TimesNewRomanPSMT" w:cs="TimesNewRomanPSMT"/>
        </w:rPr>
        <w:t xml:space="preserve">Para </w:t>
      </w:r>
      <w:r w:rsidR="003B5A6E">
        <w:rPr>
          <w:rFonts w:ascii="TimesNewRomanPSMT" w:hAnsi="TimesNewRomanPSMT" w:cs="TimesNewRomanPSMT"/>
        </w:rPr>
        <w:t>dicha</w:t>
      </w:r>
      <w:r w:rsidR="00F7712B" w:rsidRPr="00F7712B">
        <w:rPr>
          <w:rFonts w:ascii="TimesNewRomanPSMT" w:hAnsi="TimesNewRomanPSMT" w:cs="TimesNewRomanPSMT"/>
        </w:rPr>
        <w:t xml:space="preserve"> muestra se enc</w:t>
      </w:r>
      <w:r w:rsidR="000D7931">
        <w:rPr>
          <w:rFonts w:ascii="TimesNewRomanPSMT" w:hAnsi="TimesNewRomanPSMT" w:cs="TimesNewRomanPSMT"/>
        </w:rPr>
        <w:t>ontraron</w:t>
      </w:r>
      <w:r w:rsidR="00F7712B" w:rsidRPr="00F7712B">
        <w:rPr>
          <w:rFonts w:ascii="TimesNewRomanPSMT" w:hAnsi="TimesNewRomanPSMT" w:cs="TimesNewRomanPSMT"/>
        </w:rPr>
        <w:t xml:space="preserve"> 22 universidades a nivel nacional (12 privadas y 10 públicas), y a nivel internacional 16 (1 Sudamérica, 1 Latinoamérica, 12 Estados Unidos, 1 Europa, 1 Asia).</w:t>
      </w:r>
      <w:r w:rsidR="000C5BCD">
        <w:rPr>
          <w:rFonts w:ascii="TimesNewRomanPSMT" w:hAnsi="TimesNewRomanPSMT" w:cs="TimesNewRomanPSMT"/>
        </w:rPr>
        <w:t xml:space="preserve"> </w:t>
      </w:r>
    </w:p>
    <w:p w14:paraId="31032A2D" w14:textId="51F84253" w:rsidR="004B294F" w:rsidRPr="003D2E5E" w:rsidRDefault="00FE16F3" w:rsidP="003D2E5E">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jc w:val="both"/>
        <w:rPr>
          <w:rFonts w:ascii="TimesNewRomanPSMT" w:eastAsia="TimesNewRomanPSMT" w:hAnsi="TimesNewRomanPSMT" w:cs="TimesNewRomanPSMT"/>
          <w:b/>
          <w:lang w:val="es-CO" w:eastAsia="es-ES_tradnl"/>
        </w:rPr>
      </w:pPr>
      <w:r w:rsidRPr="003D2E5E">
        <w:rPr>
          <w:rFonts w:ascii="TimesNewRomanPSMT" w:eastAsia="TimesNewRomanPSMT" w:hAnsi="TimesNewRomanPSMT" w:cs="TimesNewRomanPSMT"/>
          <w:b/>
          <w:lang w:val="es-CO" w:eastAsia="es-ES_tradnl"/>
        </w:rPr>
        <w:t>Criterios de inclusión y exclusión</w:t>
      </w:r>
    </w:p>
    <w:p w14:paraId="26CC1C9B" w14:textId="61B2D9FC" w:rsidR="00F7712B" w:rsidRDefault="00632445" w:rsidP="000B5D3E">
      <w:pPr>
        <w:spacing w:line="480" w:lineRule="auto"/>
        <w:ind w:firstLine="708"/>
        <w:rPr>
          <w:lang w:val="es-MX"/>
        </w:rPr>
      </w:pPr>
      <w:r w:rsidRPr="00632445">
        <w:rPr>
          <w:lang w:val="es-MX"/>
        </w:rPr>
        <w:t>Como criterios de inclusión, se tuvo</w:t>
      </w:r>
      <w:r w:rsidR="007036C1" w:rsidRPr="00632445">
        <w:rPr>
          <w:lang w:val="es-MX"/>
        </w:rPr>
        <w:t xml:space="preserve"> </w:t>
      </w:r>
      <w:r w:rsidR="007036C1">
        <w:rPr>
          <w:lang w:val="es-MX"/>
        </w:rPr>
        <w:t xml:space="preserve">en primer lugar, </w:t>
      </w:r>
      <w:r>
        <w:rPr>
          <w:lang w:val="es-MX"/>
        </w:rPr>
        <w:t xml:space="preserve">que </w:t>
      </w:r>
      <w:r w:rsidR="007036C1">
        <w:rPr>
          <w:lang w:val="es-MX"/>
        </w:rPr>
        <w:t>las universidades ya sea de carácter nacional o internacional, se deb</w:t>
      </w:r>
      <w:r w:rsidR="00651F4B">
        <w:rPr>
          <w:lang w:val="es-MX"/>
        </w:rPr>
        <w:t>ían</w:t>
      </w:r>
      <w:r w:rsidR="007036C1">
        <w:rPr>
          <w:lang w:val="es-MX"/>
        </w:rPr>
        <w:t xml:space="preserve"> encontrar dentro de los primeros puestos de los rankings </w:t>
      </w:r>
      <w:r w:rsidR="003F1E9D">
        <w:rPr>
          <w:lang w:val="es-MX"/>
        </w:rPr>
        <w:t xml:space="preserve">universitarios </w:t>
      </w:r>
      <w:r w:rsidR="007036C1">
        <w:rPr>
          <w:lang w:val="es-MX"/>
        </w:rPr>
        <w:t xml:space="preserve">o </w:t>
      </w:r>
      <w:r w:rsidR="008D3931">
        <w:rPr>
          <w:lang w:val="es-MX"/>
        </w:rPr>
        <w:t>clasificar dentro de las listas</w:t>
      </w:r>
      <w:r w:rsidR="00A76C81">
        <w:rPr>
          <w:lang w:val="es-MX"/>
        </w:rPr>
        <w:t xml:space="preserve"> (se d</w:t>
      </w:r>
      <w:r w:rsidR="00651F4B">
        <w:rPr>
          <w:lang w:val="es-MX"/>
        </w:rPr>
        <w:t>io</w:t>
      </w:r>
      <w:r w:rsidR="00A76C81">
        <w:rPr>
          <w:lang w:val="es-MX"/>
        </w:rPr>
        <w:t xml:space="preserve"> prioridad a las que ocupa</w:t>
      </w:r>
      <w:r w:rsidR="00B104C9">
        <w:rPr>
          <w:lang w:val="es-MX"/>
        </w:rPr>
        <w:t>ban</w:t>
      </w:r>
      <w:r w:rsidR="00A76C81">
        <w:rPr>
          <w:lang w:val="es-MX"/>
        </w:rPr>
        <w:t xml:space="preserve"> los primeros lugares)</w:t>
      </w:r>
      <w:r w:rsidR="007036C1">
        <w:rPr>
          <w:lang w:val="es-MX"/>
        </w:rPr>
        <w:t xml:space="preserve">. El segundo criterio definido es que dentro de su </w:t>
      </w:r>
      <w:r w:rsidR="007036C1">
        <w:rPr>
          <w:lang w:val="es-MX"/>
        </w:rPr>
        <w:lastRenderedPageBreak/>
        <w:t>oferta académica c</w:t>
      </w:r>
      <w:r w:rsidR="00C24BFF">
        <w:rPr>
          <w:lang w:val="es-MX"/>
        </w:rPr>
        <w:t>ontara</w:t>
      </w:r>
      <w:r w:rsidR="007036C1">
        <w:rPr>
          <w:lang w:val="es-MX"/>
        </w:rPr>
        <w:t xml:space="preserve"> con el programa de Ingeniería Industrial, y en tercer y último lugar, deb</w:t>
      </w:r>
      <w:r w:rsidR="00B7175C">
        <w:rPr>
          <w:lang w:val="es-MX"/>
        </w:rPr>
        <w:t>ía</w:t>
      </w:r>
      <w:r w:rsidR="007036C1">
        <w:rPr>
          <w:lang w:val="es-MX"/>
        </w:rPr>
        <w:t xml:space="preserve"> contar con información disponible del plan de estudios, </w:t>
      </w:r>
      <w:r w:rsidR="00635CBF">
        <w:rPr>
          <w:lang w:val="es-MX"/>
        </w:rPr>
        <w:t xml:space="preserve">como </w:t>
      </w:r>
      <w:r w:rsidR="007036C1">
        <w:rPr>
          <w:lang w:val="es-MX"/>
        </w:rPr>
        <w:t xml:space="preserve">datos mínimos: número de semestres, asignaturas </w:t>
      </w:r>
      <w:r w:rsidR="001039E6">
        <w:rPr>
          <w:lang w:val="es-MX"/>
        </w:rPr>
        <w:t>correspondiente</w:t>
      </w:r>
      <w:r w:rsidR="002E0D81">
        <w:rPr>
          <w:lang w:val="es-MX"/>
        </w:rPr>
        <w:t>s</w:t>
      </w:r>
      <w:r w:rsidR="001039E6">
        <w:rPr>
          <w:lang w:val="es-MX"/>
        </w:rPr>
        <w:t xml:space="preserve"> a cada semestre</w:t>
      </w:r>
      <w:r w:rsidR="007036C1">
        <w:rPr>
          <w:lang w:val="es-MX"/>
        </w:rPr>
        <w:t xml:space="preserve"> y créditos.</w:t>
      </w:r>
    </w:p>
    <w:p w14:paraId="6E4806C8" w14:textId="3B05FD20" w:rsidR="00584BE5" w:rsidRPr="007C1B60" w:rsidRDefault="008644BA" w:rsidP="000B5D3E">
      <w:pPr>
        <w:spacing w:line="480" w:lineRule="auto"/>
        <w:ind w:firstLine="708"/>
        <w:rPr>
          <w:lang w:val="es-MX"/>
        </w:rPr>
      </w:pPr>
      <w:r>
        <w:rPr>
          <w:lang w:val="es-MX"/>
        </w:rPr>
        <w:t>N</w:t>
      </w:r>
      <w:r w:rsidR="00891D18">
        <w:rPr>
          <w:lang w:val="es-MX"/>
        </w:rPr>
        <w:t xml:space="preserve">o </w:t>
      </w:r>
      <w:r w:rsidR="00891D18" w:rsidRPr="00891D18">
        <w:rPr>
          <w:lang w:val="es-MX"/>
        </w:rPr>
        <w:t xml:space="preserve">se </w:t>
      </w:r>
      <w:r w:rsidR="00891D18">
        <w:rPr>
          <w:lang w:val="es-MX"/>
        </w:rPr>
        <w:t>t</w:t>
      </w:r>
      <w:r w:rsidR="001D364A">
        <w:rPr>
          <w:lang w:val="es-MX"/>
        </w:rPr>
        <w:t>iene</w:t>
      </w:r>
      <w:r w:rsidR="00891D18">
        <w:rPr>
          <w:lang w:val="es-MX"/>
        </w:rPr>
        <w:t>n en consideración</w:t>
      </w:r>
      <w:r w:rsidR="00891D18" w:rsidRPr="00891D18">
        <w:rPr>
          <w:lang w:val="es-MX"/>
        </w:rPr>
        <w:t xml:space="preserve"> aquellas </w:t>
      </w:r>
      <w:r w:rsidR="00891D18">
        <w:rPr>
          <w:lang w:val="es-MX"/>
        </w:rPr>
        <w:t xml:space="preserve">universidades </w:t>
      </w:r>
      <w:r w:rsidR="00891D18" w:rsidRPr="00891D18">
        <w:rPr>
          <w:lang w:val="es-MX"/>
        </w:rPr>
        <w:t xml:space="preserve">donde el nombre del programa </w:t>
      </w:r>
      <w:r w:rsidR="00891D18">
        <w:rPr>
          <w:lang w:val="es-MX"/>
        </w:rPr>
        <w:t>no</w:t>
      </w:r>
      <w:r w:rsidR="00B22505">
        <w:rPr>
          <w:lang w:val="es-MX"/>
        </w:rPr>
        <w:t xml:space="preserve"> fuera</w:t>
      </w:r>
      <w:r w:rsidR="00891D18" w:rsidRPr="00891D18">
        <w:rPr>
          <w:lang w:val="es-MX"/>
        </w:rPr>
        <w:t xml:space="preserve"> igual o similar</w:t>
      </w:r>
      <w:r w:rsidR="00891D18">
        <w:rPr>
          <w:lang w:val="es-MX"/>
        </w:rPr>
        <w:t xml:space="preserve"> a </w:t>
      </w:r>
      <w:r w:rsidR="00891D18" w:rsidRPr="007430EB">
        <w:rPr>
          <w:i/>
          <w:iCs/>
          <w:lang w:val="es-MX"/>
        </w:rPr>
        <w:t>Ingeniería Industrial</w:t>
      </w:r>
      <w:r w:rsidR="00891D18" w:rsidRPr="00891D18">
        <w:rPr>
          <w:lang w:val="es-MX"/>
        </w:rPr>
        <w:t xml:space="preserve"> </w:t>
      </w:r>
      <w:r w:rsidR="0020697F">
        <w:rPr>
          <w:lang w:val="es-MX"/>
        </w:rPr>
        <w:t>como,</w:t>
      </w:r>
      <w:r w:rsidR="00E03D41">
        <w:rPr>
          <w:lang w:val="es-MX"/>
        </w:rPr>
        <w:t xml:space="preserve"> por ejemplo</w:t>
      </w:r>
      <w:r w:rsidR="00891D18" w:rsidRPr="00891D18">
        <w:rPr>
          <w:lang w:val="es-MX"/>
        </w:rPr>
        <w:t xml:space="preserve">, universidades </w:t>
      </w:r>
      <w:r w:rsidR="00E03D41">
        <w:rPr>
          <w:lang w:val="es-MX"/>
        </w:rPr>
        <w:t xml:space="preserve">donde </w:t>
      </w:r>
      <w:r w:rsidR="00891D18" w:rsidRPr="00891D18">
        <w:rPr>
          <w:lang w:val="es-MX"/>
        </w:rPr>
        <w:t>se enc</w:t>
      </w:r>
      <w:r w:rsidR="00B22505">
        <w:rPr>
          <w:lang w:val="es-MX"/>
        </w:rPr>
        <w:t>ontraban</w:t>
      </w:r>
      <w:r w:rsidR="00891D18" w:rsidRPr="00891D18">
        <w:rPr>
          <w:lang w:val="es-MX"/>
        </w:rPr>
        <w:t xml:space="preserve"> programas </w:t>
      </w:r>
      <w:r w:rsidR="00052A8B">
        <w:rPr>
          <w:lang w:val="es-MX"/>
        </w:rPr>
        <w:t xml:space="preserve">tales </w:t>
      </w:r>
      <w:r w:rsidR="00891D18" w:rsidRPr="00891D18">
        <w:rPr>
          <w:lang w:val="es-MX"/>
        </w:rPr>
        <w:t>como Ingeniería de Producción, Investigación e Ingeniería de Operaciones, Ingeniería de Manufactura, Ingeniería de Gestión Empresarial, entre otros.</w:t>
      </w:r>
      <w:r w:rsidR="00F003D0">
        <w:rPr>
          <w:lang w:val="es-MX"/>
        </w:rPr>
        <w:t xml:space="preserve"> Asimismo, cualquier universidad que no cumpl</w:t>
      </w:r>
      <w:r w:rsidR="00B22505">
        <w:rPr>
          <w:lang w:val="es-MX"/>
        </w:rPr>
        <w:t>iera</w:t>
      </w:r>
      <w:r w:rsidR="00F003D0">
        <w:rPr>
          <w:lang w:val="es-MX"/>
        </w:rPr>
        <w:t xml:space="preserve"> con los criterios de inclusión</w:t>
      </w:r>
      <w:r w:rsidR="00B22505">
        <w:rPr>
          <w:lang w:val="es-MX"/>
        </w:rPr>
        <w:t>, se excluía</w:t>
      </w:r>
      <w:r w:rsidR="00F003D0">
        <w:rPr>
          <w:lang w:val="es-MX"/>
        </w:rPr>
        <w:t>.</w:t>
      </w:r>
    </w:p>
    <w:p w14:paraId="71C682AE" w14:textId="5B0E37B2" w:rsidR="00DE5EFE" w:rsidRDefault="00584BE5" w:rsidP="00232378">
      <w:pPr>
        <w:spacing w:line="480" w:lineRule="auto"/>
        <w:ind w:firstLine="708"/>
        <w:rPr>
          <w:rFonts w:ascii="TimesNewRomanPSMT" w:hAnsi="TimesNewRomanPSMT" w:cs="TimesNewRomanPSMT"/>
        </w:rPr>
      </w:pPr>
      <w:r>
        <w:rPr>
          <w:rFonts w:ascii="TimesNewRomanPSMT" w:hAnsi="TimesNewRomanPSMT" w:cs="TimesNewRomanPSMT"/>
        </w:rPr>
        <w:t>Dentro de l</w:t>
      </w:r>
      <w:r w:rsidR="005B1001" w:rsidRPr="00584BE5">
        <w:rPr>
          <w:rFonts w:ascii="TimesNewRomanPSMT" w:hAnsi="TimesNewRomanPSMT" w:cs="TimesNewRomanPSMT"/>
        </w:rPr>
        <w:t xml:space="preserve">as universidades participantes </w:t>
      </w:r>
      <w:r>
        <w:rPr>
          <w:rFonts w:ascii="TimesNewRomanPSMT" w:hAnsi="TimesNewRomanPSMT" w:cs="TimesNewRomanPSMT"/>
        </w:rPr>
        <w:t>se enc</w:t>
      </w:r>
      <w:r w:rsidR="00344F2F">
        <w:rPr>
          <w:rFonts w:ascii="TimesNewRomanPSMT" w:hAnsi="TimesNewRomanPSMT" w:cs="TimesNewRomanPSMT"/>
        </w:rPr>
        <w:t>ontraron</w:t>
      </w:r>
      <w:r>
        <w:rPr>
          <w:rFonts w:ascii="TimesNewRomanPSMT" w:hAnsi="TimesNewRomanPSMT" w:cs="TimesNewRomanPSMT"/>
        </w:rPr>
        <w:t xml:space="preserve"> 10 instituciones nacionales públicas: </w:t>
      </w:r>
      <w:r w:rsidR="00BA4EEB">
        <w:rPr>
          <w:rFonts w:ascii="TimesNewRomanPSMT" w:hAnsi="TimesNewRomanPSMT" w:cs="TimesNewRomanPSMT"/>
        </w:rPr>
        <w:t xml:space="preserve">Universidad Industrial de Santander, Universidad Nacional de Colombia, </w:t>
      </w:r>
      <w:r w:rsidR="00094BA3">
        <w:rPr>
          <w:rFonts w:ascii="TimesNewRomanPSMT" w:hAnsi="TimesNewRomanPSMT" w:cs="TimesNewRomanPSMT"/>
        </w:rPr>
        <w:t xml:space="preserve">Universidad de Antioquía, </w:t>
      </w:r>
      <w:r w:rsidR="00503D1D">
        <w:rPr>
          <w:rFonts w:ascii="TimesNewRomanPSMT" w:hAnsi="TimesNewRomanPSMT" w:cs="TimesNewRomanPSMT"/>
        </w:rPr>
        <w:t xml:space="preserve">Universidad del Valle, </w:t>
      </w:r>
      <w:r w:rsidR="00A606DF" w:rsidRPr="00A606DF">
        <w:rPr>
          <w:rFonts w:ascii="TimesNewRomanPSMT" w:hAnsi="TimesNewRomanPSMT" w:cs="TimesNewRomanPSMT"/>
        </w:rPr>
        <w:t>Universidad Distrital Francisco José de Caldas</w:t>
      </w:r>
      <w:r w:rsidR="00A606DF">
        <w:rPr>
          <w:rFonts w:ascii="TimesNewRomanPSMT" w:hAnsi="TimesNewRomanPSMT" w:cs="TimesNewRomanPSMT"/>
        </w:rPr>
        <w:t xml:space="preserve">, </w:t>
      </w:r>
      <w:r w:rsidR="0086052A">
        <w:rPr>
          <w:rFonts w:ascii="TimesNewRomanPSMT" w:hAnsi="TimesNewRomanPSMT" w:cs="TimesNewRomanPSMT"/>
        </w:rPr>
        <w:t xml:space="preserve">Universidad Francisco de Paula Santander, </w:t>
      </w:r>
      <w:r w:rsidR="00C418F7">
        <w:rPr>
          <w:rFonts w:ascii="TimesNewRomanPSMT" w:hAnsi="TimesNewRomanPSMT" w:cs="TimesNewRomanPSMT"/>
        </w:rPr>
        <w:t xml:space="preserve">Universidad del Atlántico, </w:t>
      </w:r>
      <w:r w:rsidR="00A606DF" w:rsidRPr="00A606DF">
        <w:rPr>
          <w:rFonts w:ascii="TimesNewRomanPSMT" w:hAnsi="TimesNewRomanPSMT" w:cs="TimesNewRomanPSMT"/>
        </w:rPr>
        <w:t>Universidad Pedagógica y Tecnológica de Colombia</w:t>
      </w:r>
      <w:r w:rsidR="00A606DF">
        <w:rPr>
          <w:rFonts w:ascii="TimesNewRomanPSMT" w:hAnsi="TimesNewRomanPSMT" w:cs="TimesNewRomanPSMT"/>
        </w:rPr>
        <w:t xml:space="preserve">, </w:t>
      </w:r>
      <w:r w:rsidR="00125803" w:rsidRPr="00125803">
        <w:rPr>
          <w:rFonts w:ascii="TimesNewRomanPSMT" w:hAnsi="TimesNewRomanPSMT" w:cs="TimesNewRomanPSMT"/>
        </w:rPr>
        <w:t>Universidad Tecnológica de Pereira</w:t>
      </w:r>
      <w:r w:rsidR="00EA2614">
        <w:rPr>
          <w:rFonts w:ascii="TimesNewRomanPSMT" w:hAnsi="TimesNewRomanPSMT" w:cs="TimesNewRomanPSMT"/>
        </w:rPr>
        <w:t>;</w:t>
      </w:r>
      <w:r w:rsidR="009120F9">
        <w:rPr>
          <w:rFonts w:ascii="TimesNewRomanPSMT" w:hAnsi="TimesNewRomanPSMT" w:cs="TimesNewRomanPSMT"/>
        </w:rPr>
        <w:t xml:space="preserve"> </w:t>
      </w:r>
      <w:r w:rsidR="00DE5EFE">
        <w:rPr>
          <w:rFonts w:ascii="TimesNewRomanPSMT" w:hAnsi="TimesNewRomanPSMT" w:cs="TimesNewRomanPSMT"/>
        </w:rPr>
        <w:t xml:space="preserve">12 instituciones nacionales privadas: </w:t>
      </w:r>
      <w:r w:rsidR="009F7E4C">
        <w:rPr>
          <w:rFonts w:ascii="TimesNewRomanPSMT" w:hAnsi="TimesNewRomanPSMT" w:cs="TimesNewRomanPSMT"/>
        </w:rPr>
        <w:t xml:space="preserve">Universidad de los Andes, Pontificia Universidad Javeriana, </w:t>
      </w:r>
      <w:r w:rsidR="00C418F7">
        <w:rPr>
          <w:rFonts w:ascii="TimesNewRomanPSMT" w:hAnsi="TimesNewRomanPSMT" w:cs="TimesNewRomanPSMT"/>
        </w:rPr>
        <w:t xml:space="preserve">Universidad ICESI, Universidad Pontificia Bolivariana, Universidad de la Sabana, </w:t>
      </w:r>
      <w:r w:rsidR="00187B88">
        <w:rPr>
          <w:rFonts w:ascii="TimesNewRomanPSMT" w:hAnsi="TimesNewRomanPSMT" w:cs="TimesNewRomanPSMT"/>
        </w:rPr>
        <w:t xml:space="preserve">Universidad del Rosario, </w:t>
      </w:r>
      <w:r w:rsidR="00C418F7">
        <w:rPr>
          <w:rFonts w:ascii="TimesNewRomanPSMT" w:hAnsi="TimesNewRomanPSMT" w:cs="TimesNewRomanPSMT"/>
        </w:rPr>
        <w:t xml:space="preserve">Universidad de la Salle, </w:t>
      </w:r>
      <w:r w:rsidR="00374812">
        <w:rPr>
          <w:rFonts w:ascii="TimesNewRomanPSMT" w:hAnsi="TimesNewRomanPSMT" w:cs="TimesNewRomanPSMT"/>
        </w:rPr>
        <w:t xml:space="preserve">Universidad de Medellín, </w:t>
      </w:r>
      <w:r w:rsidR="00C418F7">
        <w:rPr>
          <w:rFonts w:ascii="TimesNewRomanPSMT" w:hAnsi="TimesNewRomanPSMT" w:cs="TimesNewRomanPSMT"/>
        </w:rPr>
        <w:t xml:space="preserve">Universidad del Norte, Universidad Antonio Nariño, </w:t>
      </w:r>
      <w:r w:rsidR="001B1F07">
        <w:rPr>
          <w:rFonts w:ascii="TimesNewRomanPSMT" w:hAnsi="TimesNewRomanPSMT" w:cs="TimesNewRomanPSMT"/>
        </w:rPr>
        <w:t xml:space="preserve">Universidad de la Costa, </w:t>
      </w:r>
      <w:r w:rsidR="003B4E7B">
        <w:rPr>
          <w:rFonts w:ascii="TimesNewRomanPSMT" w:hAnsi="TimesNewRomanPSMT" w:cs="TimesNewRomanPSMT"/>
        </w:rPr>
        <w:t>Universidad Militar Nueva Granada, Universidad El Bosque</w:t>
      </w:r>
      <w:r w:rsidR="006652B5">
        <w:rPr>
          <w:rFonts w:ascii="TimesNewRomanPSMT" w:hAnsi="TimesNewRomanPSMT" w:cs="TimesNewRomanPSMT"/>
        </w:rPr>
        <w:t>; y</w:t>
      </w:r>
    </w:p>
    <w:p w14:paraId="31BACD89" w14:textId="1871CE37" w:rsidR="00BC3B28" w:rsidRPr="00BC3B28" w:rsidRDefault="00584BE5" w:rsidP="00584BE5">
      <w:pPr>
        <w:spacing w:line="480" w:lineRule="auto"/>
        <w:rPr>
          <w:rFonts w:ascii="TimesNewRomanPSMT" w:hAnsi="TimesNewRomanPSMT" w:cs="TimesNewRomanPSMT"/>
        </w:rPr>
      </w:pPr>
      <w:r>
        <w:rPr>
          <w:rFonts w:ascii="TimesNewRomanPSMT" w:hAnsi="TimesNewRomanPSMT" w:cs="TimesNewRomanPSMT"/>
        </w:rPr>
        <w:t xml:space="preserve"> </w:t>
      </w:r>
      <w:r w:rsidR="001247ED">
        <w:rPr>
          <w:rFonts w:ascii="TimesNewRomanPSMT" w:hAnsi="TimesNewRomanPSMT" w:cs="TimesNewRomanPSMT"/>
        </w:rPr>
        <w:t xml:space="preserve">16 instituciones internacionales: </w:t>
      </w:r>
      <w:r w:rsidR="004E19EE">
        <w:rPr>
          <w:rFonts w:ascii="TimesNewRomanPSMT" w:hAnsi="TimesNewRomanPSMT" w:cs="TimesNewRomanPSMT"/>
        </w:rPr>
        <w:t xml:space="preserve">Columbia University, </w:t>
      </w:r>
      <w:r w:rsidR="004E19EE" w:rsidRPr="004E19EE">
        <w:rPr>
          <w:rFonts w:ascii="TimesNewRomanPSMT" w:hAnsi="TimesNewRomanPSMT" w:cs="TimesNewRomanPSMT"/>
        </w:rPr>
        <w:t>University of Michigan-Ann Arbor</w:t>
      </w:r>
      <w:r w:rsidR="004E19EE">
        <w:rPr>
          <w:rFonts w:ascii="TimesNewRomanPSMT" w:hAnsi="TimesNewRomanPSMT" w:cs="TimesNewRomanPSMT"/>
        </w:rPr>
        <w:t xml:space="preserve">, </w:t>
      </w:r>
      <w:r w:rsidR="004E19EE" w:rsidRPr="004E19EE">
        <w:rPr>
          <w:rFonts w:ascii="TimesNewRomanPSMT" w:hAnsi="TimesNewRomanPSMT" w:cs="TimesNewRomanPSMT"/>
        </w:rPr>
        <w:t>University of Wisconsin</w:t>
      </w:r>
      <w:r w:rsidR="004E19EE">
        <w:rPr>
          <w:rFonts w:ascii="TimesNewRomanPSMT" w:hAnsi="TimesNewRomanPSMT" w:cs="TimesNewRomanPSMT"/>
        </w:rPr>
        <w:t xml:space="preserve">, </w:t>
      </w:r>
      <w:r w:rsidR="004E19EE" w:rsidRPr="004E19EE">
        <w:rPr>
          <w:rFonts w:ascii="TimesNewRomanPSMT" w:hAnsi="TimesNewRomanPSMT" w:cs="TimesNewRomanPSMT"/>
        </w:rPr>
        <w:t>University of Illinois at Urbana-Champaign</w:t>
      </w:r>
      <w:r w:rsidR="004E19EE">
        <w:rPr>
          <w:rFonts w:ascii="TimesNewRomanPSMT" w:hAnsi="TimesNewRomanPSMT" w:cs="TimesNewRomanPSMT"/>
        </w:rPr>
        <w:t xml:space="preserve">, </w:t>
      </w:r>
      <w:r w:rsidR="004E19EE" w:rsidRPr="004E19EE">
        <w:rPr>
          <w:rFonts w:ascii="TimesNewRomanPSMT" w:hAnsi="TimesNewRomanPSMT" w:cs="TimesNewRomanPSMT"/>
        </w:rPr>
        <w:t>Purdue University</w:t>
      </w:r>
      <w:r w:rsidR="004E19EE">
        <w:rPr>
          <w:rFonts w:ascii="TimesNewRomanPSMT" w:hAnsi="TimesNewRomanPSMT" w:cs="TimesNewRomanPSMT"/>
        </w:rPr>
        <w:t xml:space="preserve">, </w:t>
      </w:r>
      <w:r w:rsidR="004E19EE" w:rsidRPr="004E19EE">
        <w:rPr>
          <w:rFonts w:ascii="TimesNewRomanPSMT" w:hAnsi="TimesNewRomanPSMT" w:cs="TimesNewRomanPSMT"/>
        </w:rPr>
        <w:t xml:space="preserve">University of </w:t>
      </w:r>
      <w:proofErr w:type="spellStart"/>
      <w:r w:rsidR="004E19EE" w:rsidRPr="004E19EE">
        <w:rPr>
          <w:rFonts w:ascii="TimesNewRomanPSMT" w:hAnsi="TimesNewRomanPSMT" w:cs="TimesNewRomanPSMT"/>
        </w:rPr>
        <w:t>Southern</w:t>
      </w:r>
      <w:proofErr w:type="spellEnd"/>
      <w:r w:rsidR="004E19EE" w:rsidRPr="004E19EE">
        <w:rPr>
          <w:rFonts w:ascii="TimesNewRomanPSMT" w:hAnsi="TimesNewRomanPSMT" w:cs="TimesNewRomanPSMT"/>
        </w:rPr>
        <w:t xml:space="preserve"> California</w:t>
      </w:r>
      <w:r w:rsidR="004E19EE">
        <w:rPr>
          <w:rFonts w:ascii="TimesNewRomanPSMT" w:hAnsi="TimesNewRomanPSMT" w:cs="TimesNewRomanPSMT"/>
        </w:rPr>
        <w:t xml:space="preserve">, </w:t>
      </w:r>
      <w:r w:rsidR="004E19EE" w:rsidRPr="004E19EE">
        <w:rPr>
          <w:rFonts w:ascii="TimesNewRomanPSMT" w:hAnsi="TimesNewRomanPSMT" w:cs="TimesNewRomanPSMT"/>
        </w:rPr>
        <w:t xml:space="preserve">Pennsylvania </w:t>
      </w:r>
      <w:proofErr w:type="spellStart"/>
      <w:r w:rsidR="004E19EE" w:rsidRPr="004E19EE">
        <w:rPr>
          <w:rFonts w:ascii="TimesNewRomanPSMT" w:hAnsi="TimesNewRomanPSMT" w:cs="TimesNewRomanPSMT"/>
        </w:rPr>
        <w:t>State</w:t>
      </w:r>
      <w:proofErr w:type="spellEnd"/>
      <w:r w:rsidR="004E19EE" w:rsidRPr="004E19EE">
        <w:rPr>
          <w:rFonts w:ascii="TimesNewRomanPSMT" w:hAnsi="TimesNewRomanPSMT" w:cs="TimesNewRomanPSMT"/>
        </w:rPr>
        <w:t xml:space="preserve"> University</w:t>
      </w:r>
      <w:r w:rsidR="004E19EE">
        <w:rPr>
          <w:rFonts w:ascii="TimesNewRomanPSMT" w:hAnsi="TimesNewRomanPSMT" w:cs="TimesNewRomanPSMT"/>
        </w:rPr>
        <w:t xml:space="preserve">, </w:t>
      </w:r>
      <w:r w:rsidR="00DD1D72" w:rsidRPr="00DD1D72">
        <w:rPr>
          <w:rFonts w:ascii="TimesNewRomanPSMT" w:hAnsi="TimesNewRomanPSMT" w:cs="TimesNewRomanPSMT"/>
        </w:rPr>
        <w:t>University of Florida</w:t>
      </w:r>
      <w:r w:rsidR="00DD1D72">
        <w:rPr>
          <w:rFonts w:ascii="TimesNewRomanPSMT" w:hAnsi="TimesNewRomanPSMT" w:cs="TimesNewRomanPSMT"/>
        </w:rPr>
        <w:t xml:space="preserve">, </w:t>
      </w:r>
      <w:r w:rsidR="00DD1D72" w:rsidRPr="00DD1D72">
        <w:rPr>
          <w:rFonts w:ascii="TimesNewRomanPSMT" w:hAnsi="TimesNewRomanPSMT" w:cs="TimesNewRomanPSMT"/>
        </w:rPr>
        <w:t>University of Arizona</w:t>
      </w:r>
      <w:r w:rsidR="00DD1D72">
        <w:rPr>
          <w:rFonts w:ascii="TimesNewRomanPSMT" w:hAnsi="TimesNewRomanPSMT" w:cs="TimesNewRomanPSMT"/>
        </w:rPr>
        <w:t xml:space="preserve">, </w:t>
      </w:r>
      <w:r w:rsidR="00D133AD" w:rsidRPr="00D133AD">
        <w:rPr>
          <w:rFonts w:ascii="TimesNewRomanPSMT" w:hAnsi="TimesNewRomanPSMT" w:cs="TimesNewRomanPSMT"/>
        </w:rPr>
        <w:t>Texas A&amp;M University</w:t>
      </w:r>
      <w:r w:rsidR="00002E7F">
        <w:rPr>
          <w:rFonts w:ascii="TimesNewRomanPSMT" w:hAnsi="TimesNewRomanPSMT" w:cs="TimesNewRomanPSMT"/>
        </w:rPr>
        <w:t xml:space="preserve"> -</w:t>
      </w:r>
      <w:r w:rsidR="00D133AD" w:rsidRPr="00D133AD">
        <w:rPr>
          <w:rFonts w:ascii="TimesNewRomanPSMT" w:hAnsi="TimesNewRomanPSMT" w:cs="TimesNewRomanPSMT"/>
        </w:rPr>
        <w:t xml:space="preserve"> College </w:t>
      </w:r>
      <w:proofErr w:type="spellStart"/>
      <w:r w:rsidR="00D133AD" w:rsidRPr="00D133AD">
        <w:rPr>
          <w:rFonts w:ascii="TimesNewRomanPSMT" w:hAnsi="TimesNewRomanPSMT" w:cs="TimesNewRomanPSMT"/>
        </w:rPr>
        <w:t>Station</w:t>
      </w:r>
      <w:proofErr w:type="spellEnd"/>
      <w:r w:rsidR="00D133AD">
        <w:rPr>
          <w:rFonts w:ascii="TimesNewRomanPSMT" w:hAnsi="TimesNewRomanPSMT" w:cs="TimesNewRomanPSMT"/>
        </w:rPr>
        <w:t xml:space="preserve">, </w:t>
      </w:r>
      <w:r w:rsidR="00E56375" w:rsidRPr="00E56375">
        <w:rPr>
          <w:rFonts w:ascii="TimesNewRomanPSMT" w:hAnsi="TimesNewRomanPSMT" w:cs="TimesNewRomanPSMT"/>
        </w:rPr>
        <w:t>Rutgers University - New Brunswick</w:t>
      </w:r>
      <w:r w:rsidR="00E56375">
        <w:rPr>
          <w:rFonts w:ascii="TimesNewRomanPSMT" w:hAnsi="TimesNewRomanPSMT" w:cs="TimesNewRomanPSMT"/>
        </w:rPr>
        <w:t xml:space="preserve"> (Estados Unidos); </w:t>
      </w:r>
      <w:proofErr w:type="spellStart"/>
      <w:r w:rsidR="00B346C3" w:rsidRPr="00B346C3">
        <w:rPr>
          <w:rFonts w:ascii="TimesNewRomanPSMT" w:hAnsi="TimesNewRomanPSMT" w:cs="TimesNewRomanPSMT"/>
        </w:rPr>
        <w:t>Shanghai</w:t>
      </w:r>
      <w:proofErr w:type="spellEnd"/>
      <w:r w:rsidR="00B346C3" w:rsidRPr="00B346C3">
        <w:rPr>
          <w:rFonts w:ascii="TimesNewRomanPSMT" w:hAnsi="TimesNewRomanPSMT" w:cs="TimesNewRomanPSMT"/>
        </w:rPr>
        <w:t xml:space="preserve"> </w:t>
      </w:r>
      <w:proofErr w:type="spellStart"/>
      <w:r w:rsidR="00B346C3" w:rsidRPr="00B346C3">
        <w:rPr>
          <w:rFonts w:ascii="TimesNewRomanPSMT" w:hAnsi="TimesNewRomanPSMT" w:cs="TimesNewRomanPSMT"/>
        </w:rPr>
        <w:t>Jiao</w:t>
      </w:r>
      <w:proofErr w:type="spellEnd"/>
      <w:r w:rsidR="00B346C3" w:rsidRPr="00B346C3">
        <w:rPr>
          <w:rFonts w:ascii="TimesNewRomanPSMT" w:hAnsi="TimesNewRomanPSMT" w:cs="TimesNewRomanPSMT"/>
        </w:rPr>
        <w:t xml:space="preserve"> </w:t>
      </w:r>
      <w:proofErr w:type="spellStart"/>
      <w:r w:rsidR="00B346C3" w:rsidRPr="00B346C3">
        <w:rPr>
          <w:rFonts w:ascii="TimesNewRomanPSMT" w:hAnsi="TimesNewRomanPSMT" w:cs="TimesNewRomanPSMT"/>
        </w:rPr>
        <w:t>Tong</w:t>
      </w:r>
      <w:proofErr w:type="spellEnd"/>
      <w:r w:rsidR="00B346C3" w:rsidRPr="00B346C3">
        <w:rPr>
          <w:rFonts w:ascii="TimesNewRomanPSMT" w:hAnsi="TimesNewRomanPSMT" w:cs="TimesNewRomanPSMT"/>
        </w:rPr>
        <w:t xml:space="preserve"> University</w:t>
      </w:r>
      <w:r w:rsidR="00B346C3">
        <w:rPr>
          <w:rFonts w:ascii="TimesNewRomanPSMT" w:hAnsi="TimesNewRomanPSMT" w:cs="TimesNewRomanPSMT"/>
        </w:rPr>
        <w:t xml:space="preserve"> </w:t>
      </w:r>
      <w:r w:rsidR="00B346C3">
        <w:rPr>
          <w:rFonts w:ascii="TimesNewRomanPSMT" w:hAnsi="TimesNewRomanPSMT" w:cs="TimesNewRomanPSMT"/>
        </w:rPr>
        <w:lastRenderedPageBreak/>
        <w:t>(Asia)</w:t>
      </w:r>
      <w:r w:rsidR="00651439">
        <w:rPr>
          <w:rFonts w:ascii="TimesNewRomanPSMT" w:hAnsi="TimesNewRomanPSMT" w:cs="TimesNewRomanPSMT"/>
        </w:rPr>
        <w:t xml:space="preserve">; </w:t>
      </w:r>
      <w:r w:rsidR="00651439" w:rsidRPr="00651439">
        <w:rPr>
          <w:rFonts w:ascii="TimesNewRomanPSMT" w:hAnsi="TimesNewRomanPSMT" w:cs="TimesNewRomanPSMT"/>
        </w:rPr>
        <w:t>University of Groningen</w:t>
      </w:r>
      <w:r w:rsidR="00651439">
        <w:rPr>
          <w:rFonts w:ascii="TimesNewRomanPSMT" w:hAnsi="TimesNewRomanPSMT" w:cs="TimesNewRomanPSMT"/>
        </w:rPr>
        <w:t xml:space="preserve"> (Europa); </w:t>
      </w:r>
      <w:r w:rsidR="001C5FA8" w:rsidRPr="001C5FA8">
        <w:rPr>
          <w:rFonts w:ascii="TimesNewRomanPSMT" w:hAnsi="TimesNewRomanPSMT" w:cs="TimesNewRomanPSMT"/>
        </w:rPr>
        <w:t>Universidad de Buenos Aires</w:t>
      </w:r>
      <w:r w:rsidR="001C5FA8">
        <w:rPr>
          <w:rFonts w:ascii="TimesNewRomanPSMT" w:hAnsi="TimesNewRomanPSMT" w:cs="TimesNewRomanPSMT"/>
        </w:rPr>
        <w:t xml:space="preserve"> (Sudamérica) y </w:t>
      </w:r>
      <w:r w:rsidR="00E90FE6">
        <w:rPr>
          <w:rFonts w:ascii="TimesNewRomanPSMT" w:hAnsi="TimesNewRomanPSMT" w:cs="TimesNewRomanPSMT"/>
        </w:rPr>
        <w:t xml:space="preserve">la </w:t>
      </w:r>
      <w:r w:rsidR="00E90FE6" w:rsidRPr="00E90FE6">
        <w:rPr>
          <w:rFonts w:ascii="TimesNewRomanPSMT" w:hAnsi="TimesNewRomanPSMT" w:cs="TimesNewRomanPSMT"/>
        </w:rPr>
        <w:t>Universidad Nacional Autónoma de México UNAM</w:t>
      </w:r>
      <w:r w:rsidR="00E90FE6">
        <w:rPr>
          <w:rFonts w:ascii="TimesNewRomanPSMT" w:hAnsi="TimesNewRomanPSMT" w:cs="TimesNewRomanPSMT"/>
        </w:rPr>
        <w:t xml:space="preserve"> (Latinoamérica).</w:t>
      </w:r>
      <w:r w:rsidR="003E3940">
        <w:rPr>
          <w:rFonts w:ascii="TimesNewRomanPSMT" w:hAnsi="TimesNewRomanPSMT" w:cs="TimesNewRomanPSMT"/>
        </w:rPr>
        <w:t xml:space="preserve"> </w:t>
      </w:r>
    </w:p>
    <w:p w14:paraId="3FEF6DD2" w14:textId="60C51B71" w:rsidR="00EA0D02" w:rsidRPr="003D2E5E" w:rsidRDefault="00EA0D02" w:rsidP="003D2E5E">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jc w:val="both"/>
        <w:rPr>
          <w:rFonts w:ascii="TimesNewRomanPSMT" w:eastAsia="TimesNewRomanPSMT" w:hAnsi="TimesNewRomanPSMT" w:cs="TimesNewRomanPSMT"/>
          <w:b/>
          <w:lang w:val="es-CO" w:eastAsia="es-ES_tradnl"/>
        </w:rPr>
      </w:pPr>
      <w:r w:rsidRPr="003D2E5E">
        <w:rPr>
          <w:rFonts w:ascii="TimesNewRomanPSMT" w:eastAsia="TimesNewRomanPSMT" w:hAnsi="TimesNewRomanPSMT" w:cs="TimesNewRomanPSMT"/>
          <w:b/>
          <w:lang w:val="es-CO" w:eastAsia="es-ES_tradnl"/>
        </w:rPr>
        <w:t xml:space="preserve">Recolección </w:t>
      </w:r>
      <w:r w:rsidR="00E508A3" w:rsidRPr="003D2E5E">
        <w:rPr>
          <w:rFonts w:ascii="TimesNewRomanPSMT" w:eastAsia="TimesNewRomanPSMT" w:hAnsi="TimesNewRomanPSMT" w:cs="TimesNewRomanPSMT"/>
          <w:b/>
          <w:lang w:val="es-CO" w:eastAsia="es-ES_tradnl"/>
        </w:rPr>
        <w:t xml:space="preserve">y </w:t>
      </w:r>
      <w:r w:rsidR="009301FC" w:rsidRPr="003D2E5E">
        <w:rPr>
          <w:rFonts w:ascii="TimesNewRomanPSMT" w:eastAsia="TimesNewRomanPSMT" w:hAnsi="TimesNewRomanPSMT" w:cs="TimesNewRomanPSMT"/>
          <w:b/>
          <w:lang w:val="es-CO" w:eastAsia="es-ES_tradnl"/>
        </w:rPr>
        <w:t>procesamiento</w:t>
      </w:r>
      <w:r w:rsidR="00E508A3" w:rsidRPr="003D2E5E">
        <w:rPr>
          <w:rFonts w:ascii="TimesNewRomanPSMT" w:eastAsia="TimesNewRomanPSMT" w:hAnsi="TimesNewRomanPSMT" w:cs="TimesNewRomanPSMT"/>
          <w:b/>
          <w:lang w:val="es-CO" w:eastAsia="es-ES_tradnl"/>
        </w:rPr>
        <w:t xml:space="preserve"> de datos</w:t>
      </w:r>
    </w:p>
    <w:p w14:paraId="5BB36729" w14:textId="2AC13F34" w:rsidR="000F54C0" w:rsidRDefault="000F54C0" w:rsidP="000C5BCD">
      <w:pPr>
        <w:spacing w:line="480" w:lineRule="auto"/>
        <w:ind w:firstLine="708"/>
        <w:rPr>
          <w:rFonts w:ascii="TimesNewRomanPSMT" w:hAnsi="TimesNewRomanPSMT" w:cs="TimesNewRomanPSMT"/>
        </w:rPr>
      </w:pPr>
      <w:r>
        <w:rPr>
          <w:rFonts w:ascii="TimesNewRomanPSMT" w:hAnsi="TimesNewRomanPSMT" w:cs="TimesNewRomanPSMT"/>
        </w:rPr>
        <w:t>En primer lugar, se realizó una búsqueda exhaustiva en los sitios web oficiales de las universidades, del plan de estudios correspondiente a cada una, junto con el catálogo de los cursos para aquellas que lo tenían abierto al público.</w:t>
      </w:r>
    </w:p>
    <w:p w14:paraId="52B0E20B" w14:textId="32827C69" w:rsidR="00FD266F" w:rsidRDefault="00FF2ABA" w:rsidP="000C5BCD">
      <w:pPr>
        <w:spacing w:line="480" w:lineRule="auto"/>
        <w:ind w:firstLine="708"/>
        <w:rPr>
          <w:rFonts w:ascii="TimesNewRomanPSMT" w:hAnsi="TimesNewRomanPSMT" w:cs="TimesNewRomanPSMT"/>
        </w:rPr>
      </w:pPr>
      <w:r>
        <w:rPr>
          <w:rFonts w:ascii="TimesNewRomanPSMT" w:hAnsi="TimesNewRomanPSMT" w:cs="TimesNewRomanPSMT"/>
        </w:rPr>
        <w:t>Luego, s</w:t>
      </w:r>
      <w:r w:rsidR="00085826" w:rsidRPr="00085826">
        <w:rPr>
          <w:rFonts w:ascii="TimesNewRomanPSMT" w:hAnsi="TimesNewRomanPSMT" w:cs="TimesNewRomanPSMT"/>
        </w:rPr>
        <w:t>e realiz</w:t>
      </w:r>
      <w:r w:rsidR="00085826">
        <w:rPr>
          <w:rFonts w:ascii="TimesNewRomanPSMT" w:hAnsi="TimesNewRomanPSMT" w:cs="TimesNewRomanPSMT"/>
        </w:rPr>
        <w:t xml:space="preserve">ó una revisión documental de los planes de estudios, </w:t>
      </w:r>
      <w:r w:rsidR="006A444A">
        <w:rPr>
          <w:rFonts w:ascii="TimesNewRomanPSMT" w:hAnsi="TimesNewRomanPSMT" w:cs="TimesNewRomanPSMT"/>
        </w:rPr>
        <w:t>catálogos de curso</w:t>
      </w:r>
      <w:r w:rsidR="001A38E4">
        <w:rPr>
          <w:rFonts w:ascii="TimesNewRomanPSMT" w:hAnsi="TimesNewRomanPSMT" w:cs="TimesNewRomanPSMT"/>
        </w:rPr>
        <w:t xml:space="preserve"> y</w:t>
      </w:r>
      <w:r w:rsidR="006A444A">
        <w:rPr>
          <w:rFonts w:ascii="TimesNewRomanPSMT" w:hAnsi="TimesNewRomanPSMT" w:cs="TimesNewRomanPSMT"/>
        </w:rPr>
        <w:t xml:space="preserve"> </w:t>
      </w:r>
      <w:r w:rsidR="00085826">
        <w:rPr>
          <w:rFonts w:ascii="TimesNewRomanPSMT" w:hAnsi="TimesNewRomanPSMT" w:cs="TimesNewRomanPSMT"/>
        </w:rPr>
        <w:t>de</w:t>
      </w:r>
      <w:r w:rsidR="00D941FF">
        <w:rPr>
          <w:rFonts w:ascii="TimesNewRomanPSMT" w:hAnsi="TimesNewRomanPSMT" w:cs="TimesNewRomanPSMT"/>
        </w:rPr>
        <w:t>l cuerpo de conocimiento de la Ingeniería Industrial propuesto por el Instituto de Ingenieros Industriales y de Sistemas</w:t>
      </w:r>
      <w:r w:rsidR="009431FF">
        <w:rPr>
          <w:rFonts w:ascii="TimesNewRomanPSMT" w:hAnsi="TimesNewRomanPSMT" w:cs="TimesNewRomanPSMT"/>
        </w:rPr>
        <w:t xml:space="preserve"> (IISE</w:t>
      </w:r>
      <w:r w:rsidR="001A38E4">
        <w:rPr>
          <w:rFonts w:ascii="TimesNewRomanPSMT" w:hAnsi="TimesNewRomanPSMT" w:cs="TimesNewRomanPSMT"/>
        </w:rPr>
        <w:t>)</w:t>
      </w:r>
      <w:r w:rsidR="00BA0A6A">
        <w:rPr>
          <w:rFonts w:ascii="TimesNewRomanPSMT" w:hAnsi="TimesNewRomanPSMT" w:cs="TimesNewRomanPSMT"/>
        </w:rPr>
        <w:t>.</w:t>
      </w:r>
      <w:r w:rsidR="006A444A">
        <w:rPr>
          <w:rFonts w:ascii="TimesNewRomanPSMT" w:hAnsi="TimesNewRomanPSMT" w:cs="TimesNewRomanPSMT"/>
        </w:rPr>
        <w:t xml:space="preserve"> De los planes de estudios se </w:t>
      </w:r>
      <w:r w:rsidR="00161525">
        <w:rPr>
          <w:rFonts w:ascii="TimesNewRomanPSMT" w:hAnsi="TimesNewRomanPSMT" w:cs="TimesNewRomanPSMT"/>
        </w:rPr>
        <w:t>extrajeron</w:t>
      </w:r>
      <w:r w:rsidR="006A444A">
        <w:rPr>
          <w:rFonts w:ascii="TimesNewRomanPSMT" w:hAnsi="TimesNewRomanPSMT" w:cs="TimesNewRomanPSMT"/>
        </w:rPr>
        <w:t xml:space="preserve"> las asignaturas, créditos y semestres</w:t>
      </w:r>
      <w:r w:rsidR="004544C6">
        <w:rPr>
          <w:rFonts w:ascii="TimesNewRomanPSMT" w:hAnsi="TimesNewRomanPSMT" w:cs="TimesNewRomanPSMT"/>
        </w:rPr>
        <w:t>.</w:t>
      </w:r>
    </w:p>
    <w:p w14:paraId="3F4B2AD1" w14:textId="4E45E027" w:rsidR="00237688" w:rsidRDefault="00722C52" w:rsidP="004A0A33">
      <w:pPr>
        <w:spacing w:line="480" w:lineRule="auto"/>
        <w:ind w:firstLine="708"/>
        <w:rPr>
          <w:rFonts w:ascii="TimesNewRomanPSMT" w:hAnsi="TimesNewRomanPSMT" w:cs="TimesNewRomanPSMT"/>
        </w:rPr>
      </w:pPr>
      <w:r>
        <w:rPr>
          <w:rFonts w:ascii="TimesNewRomanPSMT" w:hAnsi="TimesNewRomanPSMT" w:cs="TimesNewRomanPSMT"/>
        </w:rPr>
        <w:t>Par</w:t>
      </w:r>
      <w:r w:rsidR="00C41356">
        <w:rPr>
          <w:rFonts w:ascii="TimesNewRomanPSMT" w:hAnsi="TimesNewRomanPSMT" w:cs="TimesNewRomanPSMT"/>
        </w:rPr>
        <w:t xml:space="preserve">a </w:t>
      </w:r>
      <w:r w:rsidR="00843415">
        <w:rPr>
          <w:rFonts w:ascii="TimesNewRomanPSMT" w:hAnsi="TimesNewRomanPSMT" w:cs="TimesNewRomanPSMT"/>
        </w:rPr>
        <w:t>el procesamiento, los datos se organiza</w:t>
      </w:r>
      <w:r w:rsidR="00203811">
        <w:rPr>
          <w:rFonts w:ascii="TimesNewRomanPSMT" w:hAnsi="TimesNewRomanPSMT" w:cs="TimesNewRomanPSMT"/>
        </w:rPr>
        <w:t>ron</w:t>
      </w:r>
      <w:r w:rsidR="00843415">
        <w:rPr>
          <w:rFonts w:ascii="TimesNewRomanPSMT" w:hAnsi="TimesNewRomanPSMT" w:cs="TimesNewRomanPSMT"/>
        </w:rPr>
        <w:t xml:space="preserve"> </w:t>
      </w:r>
      <w:r w:rsidR="001A38E4">
        <w:rPr>
          <w:rFonts w:ascii="TimesNewRomanPSMT" w:hAnsi="TimesNewRomanPSMT" w:cs="TimesNewRomanPSMT"/>
        </w:rPr>
        <w:t xml:space="preserve">en una clasificación: </w:t>
      </w:r>
      <w:r w:rsidR="00C17907">
        <w:rPr>
          <w:rFonts w:ascii="TimesNewRomanPSMT" w:hAnsi="TimesNewRomanPSMT" w:cs="TimesNewRomanPSMT"/>
        </w:rPr>
        <w:t xml:space="preserve">Por </w:t>
      </w:r>
      <w:r w:rsidR="00344D0E">
        <w:rPr>
          <w:rFonts w:ascii="TimesNewRomanPSMT" w:hAnsi="TimesNewRomanPSMT" w:cs="TimesNewRomanPSMT"/>
        </w:rPr>
        <w:t>áreas del conocimiento IISE</w:t>
      </w:r>
      <w:r w:rsidR="001A38E4">
        <w:rPr>
          <w:rFonts w:ascii="TimesNewRomanPSMT" w:hAnsi="TimesNewRomanPSMT" w:cs="TimesNewRomanPSMT"/>
        </w:rPr>
        <w:t xml:space="preserve">, donde </w:t>
      </w:r>
      <w:r w:rsidR="00344D0E">
        <w:rPr>
          <w:rFonts w:ascii="TimesNewRomanPSMT" w:hAnsi="TimesNewRomanPSMT" w:cs="TimesNewRomanPSMT"/>
        </w:rPr>
        <w:t>se t</w:t>
      </w:r>
      <w:r w:rsidR="003017EC">
        <w:rPr>
          <w:rFonts w:ascii="TimesNewRomanPSMT" w:hAnsi="TimesNewRomanPSMT" w:cs="TimesNewRomanPSMT"/>
        </w:rPr>
        <w:t>uvieron</w:t>
      </w:r>
      <w:r w:rsidR="00237688">
        <w:rPr>
          <w:rFonts w:ascii="TimesNewRomanPSMT" w:hAnsi="TimesNewRomanPSMT" w:cs="TimesNewRomanPSMT"/>
        </w:rPr>
        <w:t xml:space="preserve"> 14 variables</w:t>
      </w:r>
      <w:r w:rsidR="00344D0E">
        <w:rPr>
          <w:rFonts w:ascii="TimesNewRomanPSMT" w:hAnsi="TimesNewRomanPSMT" w:cs="TimesNewRomanPSMT"/>
        </w:rPr>
        <w:t xml:space="preserve"> (14 áreas de conocimiento)</w:t>
      </w:r>
      <w:r w:rsidR="0089214B">
        <w:rPr>
          <w:rFonts w:ascii="TimesNewRomanPSMT" w:hAnsi="TimesNewRomanPSMT" w:cs="TimesNewRomanPSMT"/>
        </w:rPr>
        <w:t xml:space="preserve">: </w:t>
      </w:r>
      <w:r w:rsidR="001B67C8">
        <w:rPr>
          <w:rFonts w:ascii="TimesNewRomanPSMT" w:hAnsi="TimesNewRomanPSMT" w:cs="TimesNewRomanPSMT"/>
        </w:rPr>
        <w:t xml:space="preserve">(1) </w:t>
      </w:r>
      <w:r w:rsidR="00115A4B">
        <w:rPr>
          <w:rFonts w:ascii="TimesNewRomanPSMT" w:hAnsi="TimesNewRomanPSMT" w:cs="TimesNewRomanPSMT"/>
        </w:rPr>
        <w:t>d</w:t>
      </w:r>
      <w:r w:rsidR="0089214B">
        <w:rPr>
          <w:rFonts w:ascii="TimesNewRomanPSMT" w:hAnsi="TimesNewRomanPSMT" w:cs="TimesNewRomanPSMT"/>
        </w:rPr>
        <w:t xml:space="preserve">iseño y medición del trabajo, </w:t>
      </w:r>
      <w:r w:rsidR="001B67C8">
        <w:rPr>
          <w:rFonts w:ascii="TimesNewRomanPSMT" w:hAnsi="TimesNewRomanPSMT" w:cs="TimesNewRomanPSMT"/>
        </w:rPr>
        <w:t xml:space="preserve">(2) </w:t>
      </w:r>
      <w:r w:rsidR="00115A4B">
        <w:rPr>
          <w:rFonts w:ascii="TimesNewRomanPSMT" w:hAnsi="TimesNewRomanPSMT" w:cs="TimesNewRomanPSMT"/>
        </w:rPr>
        <w:t>investigación y análisis de operaciones</w:t>
      </w:r>
      <w:r w:rsidR="00FE4E1F">
        <w:rPr>
          <w:rFonts w:ascii="TimesNewRomanPSMT" w:hAnsi="TimesNewRomanPSMT" w:cs="TimesNewRomanPSMT"/>
        </w:rPr>
        <w:t xml:space="preserve">, </w:t>
      </w:r>
      <w:r w:rsidR="001B67C8">
        <w:rPr>
          <w:rFonts w:ascii="TimesNewRomanPSMT" w:hAnsi="TimesNewRomanPSMT" w:cs="TimesNewRomanPSMT"/>
        </w:rPr>
        <w:t xml:space="preserve">(3) </w:t>
      </w:r>
      <w:r w:rsidR="00FE4E1F">
        <w:rPr>
          <w:rFonts w:ascii="TimesNewRomanPSMT" w:hAnsi="TimesNewRomanPSMT" w:cs="TimesNewRomanPSMT"/>
        </w:rPr>
        <w:t xml:space="preserve">análisis económico de ingeniería, </w:t>
      </w:r>
      <w:r w:rsidR="001B67C8">
        <w:rPr>
          <w:rFonts w:ascii="TimesNewRomanPSMT" w:hAnsi="TimesNewRomanPSMT" w:cs="TimesNewRomanPSMT"/>
        </w:rPr>
        <w:t xml:space="preserve">(4) </w:t>
      </w:r>
      <w:r w:rsidR="00FE4E1F">
        <w:rPr>
          <w:rFonts w:ascii="TimesNewRomanPSMT" w:hAnsi="TimesNewRomanPSMT" w:cs="TimesNewRomanPSMT"/>
        </w:rPr>
        <w:t xml:space="preserve">ingeniería de instalaciones y gestión energética, </w:t>
      </w:r>
      <w:r w:rsidR="001B67C8">
        <w:rPr>
          <w:rFonts w:ascii="TimesNewRomanPSMT" w:hAnsi="TimesNewRomanPSMT" w:cs="TimesNewRomanPSMT"/>
        </w:rPr>
        <w:t xml:space="preserve">(5) </w:t>
      </w:r>
      <w:r w:rsidR="00FE4E1F">
        <w:rPr>
          <w:rFonts w:ascii="TimesNewRomanPSMT" w:hAnsi="TimesNewRomanPSMT" w:cs="TimesNewRomanPSMT"/>
        </w:rPr>
        <w:t xml:space="preserve">ingeniería de calidad y confiabilidad, </w:t>
      </w:r>
      <w:r w:rsidR="001B67C8">
        <w:rPr>
          <w:rFonts w:ascii="TimesNewRomanPSMT" w:hAnsi="TimesNewRomanPSMT" w:cs="TimesNewRomanPSMT"/>
        </w:rPr>
        <w:t xml:space="preserve">(6) </w:t>
      </w:r>
      <w:r w:rsidR="00FE4E1F">
        <w:rPr>
          <w:rFonts w:ascii="TimesNewRomanPSMT" w:hAnsi="TimesNewRomanPSMT" w:cs="TimesNewRomanPSMT"/>
        </w:rPr>
        <w:t xml:space="preserve">ergonomía y factores humanos, </w:t>
      </w:r>
      <w:r w:rsidR="001B67C8">
        <w:rPr>
          <w:rFonts w:ascii="TimesNewRomanPSMT" w:hAnsi="TimesNewRomanPSMT" w:cs="TimesNewRomanPSMT"/>
        </w:rPr>
        <w:t xml:space="preserve">(7) </w:t>
      </w:r>
      <w:r w:rsidR="00266675">
        <w:rPr>
          <w:rFonts w:ascii="TimesNewRomanPSMT" w:hAnsi="TimesNewRomanPSMT" w:cs="TimesNewRomanPSMT"/>
        </w:rPr>
        <w:t xml:space="preserve">ingeniería y gestión de operaciones, </w:t>
      </w:r>
      <w:r w:rsidR="001B67C8">
        <w:rPr>
          <w:rFonts w:ascii="TimesNewRomanPSMT" w:hAnsi="TimesNewRomanPSMT" w:cs="TimesNewRomanPSMT"/>
        </w:rPr>
        <w:t xml:space="preserve">(8) </w:t>
      </w:r>
      <w:r w:rsidR="00613B22">
        <w:rPr>
          <w:rFonts w:ascii="TimesNewRomanPSMT" w:hAnsi="TimesNewRomanPSMT" w:cs="TimesNewRomanPSMT"/>
        </w:rPr>
        <w:t xml:space="preserve">gestión de la cadena de suministro, </w:t>
      </w:r>
      <w:r w:rsidR="001B67C8">
        <w:rPr>
          <w:rFonts w:ascii="TimesNewRomanPSMT" w:hAnsi="TimesNewRomanPSMT" w:cs="TimesNewRomanPSMT"/>
        </w:rPr>
        <w:t xml:space="preserve">(9) </w:t>
      </w:r>
      <w:r w:rsidR="000C2FCB">
        <w:rPr>
          <w:rFonts w:ascii="TimesNewRomanPSMT" w:hAnsi="TimesNewRomanPSMT" w:cs="TimesNewRomanPSMT"/>
        </w:rPr>
        <w:t xml:space="preserve">gestión de ingeniería, </w:t>
      </w:r>
      <w:r w:rsidR="00EC11F7">
        <w:rPr>
          <w:rFonts w:ascii="TimesNewRomanPSMT" w:hAnsi="TimesNewRomanPSMT" w:cs="TimesNewRomanPSMT"/>
        </w:rPr>
        <w:t xml:space="preserve">(10) </w:t>
      </w:r>
      <w:r w:rsidR="000C2FCB">
        <w:rPr>
          <w:rFonts w:ascii="TimesNewRomanPSMT" w:hAnsi="TimesNewRomanPSMT" w:cs="TimesNewRomanPSMT"/>
        </w:rPr>
        <w:t xml:space="preserve">seguridad, </w:t>
      </w:r>
      <w:r w:rsidR="00EC11F7">
        <w:rPr>
          <w:rFonts w:ascii="TimesNewRomanPSMT" w:hAnsi="TimesNewRomanPSMT" w:cs="TimesNewRomanPSMT"/>
        </w:rPr>
        <w:t xml:space="preserve">(11) </w:t>
      </w:r>
      <w:r w:rsidR="000C2FCB">
        <w:rPr>
          <w:rFonts w:ascii="TimesNewRomanPSMT" w:hAnsi="TimesNewRomanPSMT" w:cs="TimesNewRomanPSMT"/>
        </w:rPr>
        <w:t xml:space="preserve">ingeniería de la información, </w:t>
      </w:r>
      <w:r w:rsidR="00EC11F7">
        <w:rPr>
          <w:rFonts w:ascii="TimesNewRomanPSMT" w:hAnsi="TimesNewRomanPSMT" w:cs="TimesNewRomanPSMT"/>
        </w:rPr>
        <w:t xml:space="preserve">(12) </w:t>
      </w:r>
      <w:r w:rsidR="00C554EB">
        <w:rPr>
          <w:rFonts w:ascii="TimesNewRomanPSMT" w:hAnsi="TimesNewRomanPSMT" w:cs="TimesNewRomanPSMT"/>
        </w:rPr>
        <w:t xml:space="preserve">ingeniería de diseño y fabricación, </w:t>
      </w:r>
      <w:r w:rsidR="00EC11F7">
        <w:rPr>
          <w:rFonts w:ascii="TimesNewRomanPSMT" w:hAnsi="TimesNewRomanPSMT" w:cs="TimesNewRomanPSMT"/>
        </w:rPr>
        <w:t xml:space="preserve">(13) </w:t>
      </w:r>
      <w:r w:rsidR="00BD1B81">
        <w:rPr>
          <w:rFonts w:ascii="TimesNewRomanPSMT" w:hAnsi="TimesNewRomanPSMT" w:cs="TimesNewRomanPSMT"/>
        </w:rPr>
        <w:t xml:space="preserve">diseño y desarrollo de productos, y </w:t>
      </w:r>
      <w:r w:rsidR="00EC11F7">
        <w:rPr>
          <w:rFonts w:ascii="TimesNewRomanPSMT" w:hAnsi="TimesNewRomanPSMT" w:cs="TimesNewRomanPSMT"/>
        </w:rPr>
        <w:t xml:space="preserve">(14) </w:t>
      </w:r>
      <w:r w:rsidR="00BD1B81">
        <w:rPr>
          <w:rFonts w:ascii="TimesNewRomanPSMT" w:hAnsi="TimesNewRomanPSMT" w:cs="TimesNewRomanPSMT"/>
        </w:rPr>
        <w:t>diseño e ingeniería de sistemas</w:t>
      </w:r>
      <w:r w:rsidR="00FA5D40">
        <w:rPr>
          <w:rFonts w:ascii="TimesNewRomanPSMT" w:hAnsi="TimesNewRomanPSMT" w:cs="TimesNewRomanPSMT"/>
        </w:rPr>
        <w:t xml:space="preserve"> </w:t>
      </w:r>
      <w:sdt>
        <w:sdtPr>
          <w:id w:val="1537390441"/>
          <w:citation/>
        </w:sdtPr>
        <w:sdtEndPr/>
        <w:sdtContent>
          <w:r w:rsidR="00FA5D40">
            <w:fldChar w:fldCharType="begin"/>
          </w:r>
          <w:r w:rsidR="00FA5D40">
            <w:instrText xml:space="preserve"> CITATION Ins21 \l 9226 </w:instrText>
          </w:r>
          <w:r w:rsidR="00FA5D40">
            <w:fldChar w:fldCharType="separate"/>
          </w:r>
          <w:r w:rsidR="00FA5D40">
            <w:rPr>
              <w:noProof/>
            </w:rPr>
            <w:t xml:space="preserve"> </w:t>
          </w:r>
          <w:r w:rsidR="00FA5D40" w:rsidRPr="007B65B7">
            <w:rPr>
              <w:noProof/>
            </w:rPr>
            <w:t>(Institute of Industrial &amp; Systems Engineers, 2021)</w:t>
          </w:r>
          <w:r w:rsidR="00FA5D40">
            <w:fldChar w:fldCharType="end"/>
          </w:r>
        </w:sdtContent>
      </w:sdt>
      <w:r w:rsidR="00FA5D40">
        <w:t>.</w:t>
      </w:r>
      <w:r w:rsidR="00237688">
        <w:rPr>
          <w:rFonts w:ascii="TimesNewRomanPSMT" w:hAnsi="TimesNewRomanPSMT" w:cs="TimesNewRomanPSMT"/>
        </w:rPr>
        <w:t xml:space="preserve"> </w:t>
      </w:r>
      <w:r w:rsidR="00EA6393">
        <w:rPr>
          <w:rFonts w:ascii="TimesNewRomanPSMT" w:hAnsi="TimesNewRomanPSMT" w:cs="TimesNewRomanPSMT"/>
        </w:rPr>
        <w:t xml:space="preserve">En </w:t>
      </w:r>
      <w:r w:rsidR="001A38E4">
        <w:rPr>
          <w:rFonts w:ascii="TimesNewRomanPSMT" w:hAnsi="TimesNewRomanPSMT" w:cs="TimesNewRomanPSMT"/>
        </w:rPr>
        <w:t>la clasificación</w:t>
      </w:r>
      <w:r w:rsidR="00EA6393">
        <w:rPr>
          <w:rFonts w:ascii="TimesNewRomanPSMT" w:hAnsi="TimesNewRomanPSMT" w:cs="TimesNewRomanPSMT"/>
        </w:rPr>
        <w:t xml:space="preserve">, se </w:t>
      </w:r>
      <w:r w:rsidR="005B45C9">
        <w:rPr>
          <w:rFonts w:ascii="TimesNewRomanPSMT" w:hAnsi="TimesNewRomanPSMT" w:cs="TimesNewRomanPSMT"/>
        </w:rPr>
        <w:t>fue</w:t>
      </w:r>
      <w:r w:rsidR="00EA6393">
        <w:rPr>
          <w:rFonts w:ascii="TimesNewRomanPSMT" w:hAnsi="TimesNewRomanPSMT" w:cs="TimesNewRomanPSMT"/>
        </w:rPr>
        <w:t xml:space="preserve"> </w:t>
      </w:r>
      <w:r w:rsidR="00673C94">
        <w:rPr>
          <w:rFonts w:ascii="TimesNewRomanPSMT" w:hAnsi="TimesNewRomanPSMT" w:cs="TimesNewRomanPSMT"/>
        </w:rPr>
        <w:t>distribuyendo</w:t>
      </w:r>
      <w:r w:rsidR="00FB26D6">
        <w:rPr>
          <w:rFonts w:ascii="TimesNewRomanPSMT" w:hAnsi="TimesNewRomanPSMT" w:cs="TimesNewRomanPSMT"/>
        </w:rPr>
        <w:t xml:space="preserve"> a su respectiva universidad,</w:t>
      </w:r>
      <w:r w:rsidR="00EA6393">
        <w:rPr>
          <w:rFonts w:ascii="TimesNewRomanPSMT" w:hAnsi="TimesNewRomanPSMT" w:cs="TimesNewRomanPSMT"/>
        </w:rPr>
        <w:t xml:space="preserve"> el número de asignaturas </w:t>
      </w:r>
      <w:r w:rsidR="00A5472B">
        <w:rPr>
          <w:rFonts w:ascii="TimesNewRomanPSMT" w:hAnsi="TimesNewRomanPSMT" w:cs="TimesNewRomanPSMT"/>
        </w:rPr>
        <w:t xml:space="preserve">y créditos </w:t>
      </w:r>
      <w:r w:rsidR="00EA6393">
        <w:rPr>
          <w:rFonts w:ascii="TimesNewRomanPSMT" w:hAnsi="TimesNewRomanPSMT" w:cs="TimesNewRomanPSMT"/>
        </w:rPr>
        <w:t>pertenecientes a cada varia</w:t>
      </w:r>
      <w:r w:rsidR="008F7931">
        <w:rPr>
          <w:rFonts w:ascii="TimesNewRomanPSMT" w:hAnsi="TimesNewRomanPSMT" w:cs="TimesNewRomanPSMT"/>
        </w:rPr>
        <w:t xml:space="preserve">ble </w:t>
      </w:r>
      <w:r w:rsidR="00047D8A">
        <w:rPr>
          <w:rFonts w:ascii="TimesNewRomanPSMT" w:hAnsi="TimesNewRomanPSMT" w:cs="TimesNewRomanPSMT"/>
        </w:rPr>
        <w:t xml:space="preserve">de acuerdo a los temas abordados </w:t>
      </w:r>
      <w:r w:rsidR="001A38E4">
        <w:rPr>
          <w:rFonts w:ascii="TimesNewRomanPSMT" w:hAnsi="TimesNewRomanPSMT" w:cs="TimesNewRomanPSMT"/>
        </w:rPr>
        <w:t xml:space="preserve">descritos </w:t>
      </w:r>
      <w:r w:rsidR="00047D8A">
        <w:rPr>
          <w:rFonts w:ascii="TimesNewRomanPSMT" w:hAnsi="TimesNewRomanPSMT" w:cs="TimesNewRomanPSMT"/>
        </w:rPr>
        <w:t xml:space="preserve">por </w:t>
      </w:r>
      <w:r w:rsidR="008F7931">
        <w:rPr>
          <w:rFonts w:ascii="TimesNewRomanPSMT" w:hAnsi="TimesNewRomanPSMT" w:cs="TimesNewRomanPSMT"/>
        </w:rPr>
        <w:t>área</w:t>
      </w:r>
      <w:r w:rsidR="00047D8A">
        <w:rPr>
          <w:rFonts w:ascii="TimesNewRomanPSMT" w:hAnsi="TimesNewRomanPSMT" w:cs="TimesNewRomanPSMT"/>
        </w:rPr>
        <w:t>.</w:t>
      </w:r>
      <w:r w:rsidR="008D45EB">
        <w:rPr>
          <w:rFonts w:ascii="TimesNewRomanPSMT" w:hAnsi="TimesNewRomanPSMT" w:cs="TimesNewRomanPSMT"/>
        </w:rPr>
        <w:t xml:space="preserve"> </w:t>
      </w:r>
    </w:p>
    <w:p w14:paraId="5B5CC413" w14:textId="616F99CC" w:rsidR="00D3302A" w:rsidRPr="003D2E5E" w:rsidRDefault="0031042D" w:rsidP="003D2E5E">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jc w:val="both"/>
        <w:rPr>
          <w:rFonts w:ascii="TimesNewRomanPSMT" w:eastAsia="TimesNewRomanPSMT" w:hAnsi="TimesNewRomanPSMT" w:cs="TimesNewRomanPSMT"/>
          <w:b/>
          <w:lang w:val="es-CO" w:eastAsia="es-ES_tradnl"/>
        </w:rPr>
      </w:pPr>
      <w:r w:rsidRPr="003D2E5E">
        <w:rPr>
          <w:rFonts w:ascii="TimesNewRomanPSMT" w:eastAsia="TimesNewRomanPSMT" w:hAnsi="TimesNewRomanPSMT" w:cs="TimesNewRomanPSMT"/>
          <w:b/>
          <w:lang w:val="es-CO" w:eastAsia="es-ES_tradnl"/>
        </w:rPr>
        <w:t>Análisis de los datos</w:t>
      </w:r>
    </w:p>
    <w:p w14:paraId="75EAA6C9" w14:textId="2F1B21B0" w:rsidR="00A5120B" w:rsidRPr="000B5D3E" w:rsidRDefault="00E520FA" w:rsidP="00A5120B">
      <w:pPr>
        <w:spacing w:line="480" w:lineRule="auto"/>
        <w:ind w:firstLine="708"/>
        <w:rPr>
          <w:color w:val="000000" w:themeColor="text1"/>
          <w:spacing w:val="8"/>
          <w:shd w:val="clear" w:color="auto" w:fill="FFFFFF"/>
        </w:rPr>
      </w:pPr>
      <w:r>
        <w:rPr>
          <w:color w:val="000000" w:themeColor="text1"/>
          <w:spacing w:val="8"/>
          <w:shd w:val="clear" w:color="auto" w:fill="FFFFFF"/>
        </w:rPr>
        <w:t>En primera instancia</w:t>
      </w:r>
      <w:r w:rsidR="00743FCE">
        <w:rPr>
          <w:color w:val="000000" w:themeColor="text1"/>
          <w:spacing w:val="8"/>
          <w:shd w:val="clear" w:color="auto" w:fill="FFFFFF"/>
        </w:rPr>
        <w:t>,</w:t>
      </w:r>
      <w:r w:rsidR="00D3302A">
        <w:rPr>
          <w:color w:val="000000" w:themeColor="text1"/>
          <w:spacing w:val="8"/>
          <w:shd w:val="clear" w:color="auto" w:fill="FFFFFF"/>
        </w:rPr>
        <w:t xml:space="preserve"> se realizó un análisis descriptivo de las siguientes variables: </w:t>
      </w:r>
      <w:r>
        <w:rPr>
          <w:color w:val="000000" w:themeColor="text1"/>
          <w:spacing w:val="8"/>
          <w:shd w:val="clear" w:color="auto" w:fill="FFFFFF"/>
        </w:rPr>
        <w:t>d</w:t>
      </w:r>
      <w:r w:rsidR="00D3302A">
        <w:rPr>
          <w:color w:val="000000" w:themeColor="text1"/>
          <w:spacing w:val="8"/>
          <w:shd w:val="clear" w:color="auto" w:fill="FFFFFF"/>
        </w:rPr>
        <w:t>uración del programa, electivas profesionales, segundo idioma</w:t>
      </w:r>
      <w:r w:rsidR="00536771">
        <w:rPr>
          <w:color w:val="000000" w:themeColor="text1"/>
          <w:spacing w:val="8"/>
          <w:shd w:val="clear" w:color="auto" w:fill="FFFFFF"/>
        </w:rPr>
        <w:t xml:space="preserve"> y </w:t>
      </w:r>
      <w:r w:rsidR="00D3302A">
        <w:rPr>
          <w:color w:val="000000" w:themeColor="text1"/>
          <w:spacing w:val="8"/>
          <w:shd w:val="clear" w:color="auto" w:fill="FFFFFF"/>
        </w:rPr>
        <w:lastRenderedPageBreak/>
        <w:t>electivas no profesionales</w:t>
      </w:r>
      <w:r w:rsidR="004514CD">
        <w:rPr>
          <w:color w:val="000000" w:themeColor="text1"/>
          <w:spacing w:val="8"/>
          <w:shd w:val="clear" w:color="auto" w:fill="FFFFFF"/>
        </w:rPr>
        <w:t>,</w:t>
      </w:r>
      <w:r w:rsidR="00C63BF1">
        <w:rPr>
          <w:color w:val="000000" w:themeColor="text1"/>
          <w:spacing w:val="8"/>
          <w:shd w:val="clear" w:color="auto" w:fill="FFFFFF"/>
        </w:rPr>
        <w:t xml:space="preserve"> con base en los créditos </w:t>
      </w:r>
      <w:r w:rsidR="009666EC">
        <w:rPr>
          <w:color w:val="000000" w:themeColor="text1"/>
          <w:spacing w:val="8"/>
          <w:shd w:val="clear" w:color="auto" w:fill="FFFFFF"/>
        </w:rPr>
        <w:t xml:space="preserve">correspondientes </w:t>
      </w:r>
      <w:r w:rsidR="00FE3DAB">
        <w:rPr>
          <w:color w:val="000000" w:themeColor="text1"/>
          <w:spacing w:val="8"/>
          <w:shd w:val="clear" w:color="auto" w:fill="FFFFFF"/>
        </w:rPr>
        <w:t>a cada una de ellas</w:t>
      </w:r>
      <w:r w:rsidR="00C63BF1">
        <w:rPr>
          <w:color w:val="000000" w:themeColor="text1"/>
          <w:spacing w:val="8"/>
          <w:shd w:val="clear" w:color="auto" w:fill="FFFFFF"/>
        </w:rPr>
        <w:t>.</w:t>
      </w:r>
      <w:r w:rsidR="002743A8">
        <w:rPr>
          <w:color w:val="000000" w:themeColor="text1"/>
          <w:spacing w:val="8"/>
          <w:shd w:val="clear" w:color="auto" w:fill="FFFFFF"/>
        </w:rPr>
        <w:t xml:space="preserve"> </w:t>
      </w:r>
      <w:r w:rsidR="00A455AC">
        <w:rPr>
          <w:color w:val="000000" w:themeColor="text1"/>
          <w:spacing w:val="8"/>
          <w:shd w:val="clear" w:color="auto" w:fill="FFFFFF"/>
        </w:rPr>
        <w:t>Después</w:t>
      </w:r>
      <w:r w:rsidR="00DA4F6A">
        <w:rPr>
          <w:color w:val="000000" w:themeColor="text1"/>
          <w:spacing w:val="8"/>
          <w:shd w:val="clear" w:color="auto" w:fill="FFFFFF"/>
        </w:rPr>
        <w:t>,</w:t>
      </w:r>
      <w:r w:rsidR="00015CD4">
        <w:rPr>
          <w:color w:val="000000" w:themeColor="text1"/>
          <w:spacing w:val="8"/>
          <w:shd w:val="clear" w:color="auto" w:fill="FFFFFF"/>
        </w:rPr>
        <w:t xml:space="preserve"> c</w:t>
      </w:r>
      <w:r w:rsidR="002934CD">
        <w:rPr>
          <w:color w:val="000000" w:themeColor="text1"/>
          <w:spacing w:val="8"/>
          <w:shd w:val="clear" w:color="auto" w:fill="FFFFFF"/>
        </w:rPr>
        <w:t>on las asignaturas</w:t>
      </w:r>
      <w:r w:rsidR="00D53E1A">
        <w:rPr>
          <w:color w:val="000000" w:themeColor="text1"/>
          <w:spacing w:val="8"/>
          <w:shd w:val="clear" w:color="auto" w:fill="FFFFFF"/>
        </w:rPr>
        <w:t xml:space="preserve"> y </w:t>
      </w:r>
      <w:r w:rsidR="00781104">
        <w:rPr>
          <w:color w:val="000000" w:themeColor="text1"/>
          <w:spacing w:val="8"/>
          <w:shd w:val="clear" w:color="auto" w:fill="FFFFFF"/>
        </w:rPr>
        <w:t xml:space="preserve">créditos </w:t>
      </w:r>
      <w:r w:rsidR="002934CD">
        <w:rPr>
          <w:color w:val="000000" w:themeColor="text1"/>
          <w:spacing w:val="8"/>
          <w:shd w:val="clear" w:color="auto" w:fill="FFFFFF"/>
        </w:rPr>
        <w:t>clasificad</w:t>
      </w:r>
      <w:r w:rsidR="00781104">
        <w:rPr>
          <w:color w:val="000000" w:themeColor="text1"/>
          <w:spacing w:val="8"/>
          <w:shd w:val="clear" w:color="auto" w:fill="FFFFFF"/>
        </w:rPr>
        <w:t>os</w:t>
      </w:r>
      <w:r w:rsidR="00015CD4">
        <w:rPr>
          <w:color w:val="000000" w:themeColor="text1"/>
          <w:spacing w:val="8"/>
          <w:shd w:val="clear" w:color="auto" w:fill="FFFFFF"/>
        </w:rPr>
        <w:t xml:space="preserve"> </w:t>
      </w:r>
      <w:r w:rsidR="004F5A87">
        <w:rPr>
          <w:color w:val="000000" w:themeColor="text1"/>
          <w:spacing w:val="8"/>
          <w:shd w:val="clear" w:color="auto" w:fill="FFFFFF"/>
        </w:rPr>
        <w:t>por</w:t>
      </w:r>
      <w:r w:rsidR="00015CD4">
        <w:rPr>
          <w:color w:val="000000" w:themeColor="text1"/>
          <w:spacing w:val="8"/>
          <w:shd w:val="clear" w:color="auto" w:fill="FFFFFF"/>
        </w:rPr>
        <w:t xml:space="preserve"> las áreas de conocimiento </w:t>
      </w:r>
      <w:r w:rsidR="004F5A87">
        <w:rPr>
          <w:color w:val="000000" w:themeColor="text1"/>
          <w:spacing w:val="8"/>
          <w:shd w:val="clear" w:color="auto" w:fill="FFFFFF"/>
        </w:rPr>
        <w:t xml:space="preserve">del </w:t>
      </w:r>
      <w:r w:rsidR="00015CD4">
        <w:rPr>
          <w:color w:val="000000" w:themeColor="text1"/>
          <w:spacing w:val="8"/>
          <w:shd w:val="clear" w:color="auto" w:fill="FFFFFF"/>
        </w:rPr>
        <w:t>IISE</w:t>
      </w:r>
      <w:r w:rsidR="002934CD">
        <w:rPr>
          <w:color w:val="000000" w:themeColor="text1"/>
          <w:spacing w:val="8"/>
          <w:shd w:val="clear" w:color="auto" w:fill="FFFFFF"/>
        </w:rPr>
        <w:t xml:space="preserve">, se </w:t>
      </w:r>
      <w:r w:rsidR="00F533FA">
        <w:rPr>
          <w:color w:val="000000" w:themeColor="text1"/>
          <w:spacing w:val="8"/>
          <w:shd w:val="clear" w:color="auto" w:fill="FFFFFF"/>
        </w:rPr>
        <w:t>efectuó</w:t>
      </w:r>
      <w:r w:rsidR="00076598">
        <w:rPr>
          <w:color w:val="000000" w:themeColor="text1"/>
          <w:spacing w:val="8"/>
          <w:shd w:val="clear" w:color="auto" w:fill="FFFFFF"/>
        </w:rPr>
        <w:t xml:space="preserve"> un análisis descriptivo</w:t>
      </w:r>
      <w:r w:rsidR="00F533FA">
        <w:rPr>
          <w:color w:val="000000" w:themeColor="text1"/>
          <w:spacing w:val="8"/>
          <w:shd w:val="clear" w:color="auto" w:fill="FFFFFF"/>
        </w:rPr>
        <w:t>.</w:t>
      </w:r>
      <w:r w:rsidR="00481B6B">
        <w:rPr>
          <w:color w:val="000000" w:themeColor="text1"/>
          <w:spacing w:val="8"/>
          <w:shd w:val="clear" w:color="auto" w:fill="FFFFFF"/>
        </w:rPr>
        <w:t xml:space="preserve"> </w:t>
      </w:r>
      <w:r w:rsidR="00FD7817">
        <w:rPr>
          <w:color w:val="000000" w:themeColor="text1"/>
          <w:spacing w:val="8"/>
          <w:shd w:val="clear" w:color="auto" w:fill="FFFFFF"/>
        </w:rPr>
        <w:t xml:space="preserve">En tercer y último aspecto, </w:t>
      </w:r>
      <w:r w:rsidR="00F533FA">
        <w:rPr>
          <w:color w:val="000000" w:themeColor="text1"/>
          <w:spacing w:val="8"/>
          <w:shd w:val="clear" w:color="auto" w:fill="FFFFFF"/>
        </w:rPr>
        <w:t>para validar estadísticamente los resultados descriptivos, se desarrolló</w:t>
      </w:r>
      <w:r w:rsidR="00FD7817">
        <w:rPr>
          <w:color w:val="000000" w:themeColor="text1"/>
          <w:spacing w:val="8"/>
          <w:shd w:val="clear" w:color="auto" w:fill="FFFFFF"/>
        </w:rPr>
        <w:t xml:space="preserve"> un análisis de enfoque Games-Howell </w:t>
      </w:r>
      <w:r w:rsidR="00F533FA">
        <w:rPr>
          <w:color w:val="000000" w:themeColor="text1"/>
          <w:spacing w:val="8"/>
          <w:shd w:val="clear" w:color="auto" w:fill="FFFFFF"/>
        </w:rPr>
        <w:t>junto con</w:t>
      </w:r>
      <w:r w:rsidR="00FD7817">
        <w:rPr>
          <w:color w:val="000000" w:themeColor="text1"/>
          <w:spacing w:val="8"/>
          <w:shd w:val="clear" w:color="auto" w:fill="FFFFFF"/>
        </w:rPr>
        <w:t xml:space="preserve"> un análisis de clúster</w:t>
      </w:r>
      <w:r w:rsidR="00F533FA">
        <w:rPr>
          <w:color w:val="000000" w:themeColor="text1"/>
          <w:spacing w:val="8"/>
          <w:shd w:val="clear" w:color="auto" w:fill="FFFFFF"/>
        </w:rPr>
        <w:t xml:space="preserve"> de los créditos clasificados</w:t>
      </w:r>
      <w:r w:rsidR="00FD7817">
        <w:rPr>
          <w:color w:val="000000" w:themeColor="text1"/>
          <w:spacing w:val="8"/>
          <w:shd w:val="clear" w:color="auto" w:fill="FFFFFF"/>
        </w:rPr>
        <w:t>.</w:t>
      </w:r>
      <w:r w:rsidR="00F533FA">
        <w:rPr>
          <w:color w:val="000000" w:themeColor="text1"/>
          <w:spacing w:val="8"/>
          <w:shd w:val="clear" w:color="auto" w:fill="FFFFFF"/>
        </w:rPr>
        <w:t xml:space="preserve"> A continuación, se reflejan los resultados del estudio comparativo.</w:t>
      </w:r>
    </w:p>
    <w:p w14:paraId="43475462" w14:textId="28C3FCED" w:rsidR="00884DA2" w:rsidRDefault="00884DA2" w:rsidP="006C1CBD">
      <w:pPr>
        <w:spacing w:line="480" w:lineRule="auto"/>
        <w:jc w:val="center"/>
        <w:rPr>
          <w:b/>
          <w:bCs/>
          <w:color w:val="000000" w:themeColor="text1"/>
          <w:spacing w:val="8"/>
          <w:shd w:val="clear" w:color="auto" w:fill="FFFFFF"/>
        </w:rPr>
      </w:pPr>
      <w:r w:rsidRPr="00683416">
        <w:rPr>
          <w:b/>
          <w:bCs/>
          <w:color w:val="000000" w:themeColor="text1"/>
          <w:spacing w:val="8"/>
          <w:shd w:val="clear" w:color="auto" w:fill="FFFFFF"/>
        </w:rPr>
        <w:t>Resultados</w:t>
      </w:r>
    </w:p>
    <w:p w14:paraId="1D8D29B7" w14:textId="05809222" w:rsidR="00C86D55" w:rsidRPr="00C86D55" w:rsidRDefault="00C86D55" w:rsidP="00782FE5">
      <w:pPr>
        <w:spacing w:line="480" w:lineRule="auto"/>
        <w:rPr>
          <w:b/>
          <w:bCs/>
          <w:color w:val="000000" w:themeColor="text1"/>
          <w:spacing w:val="8"/>
          <w:shd w:val="clear" w:color="auto" w:fill="FFFFFF"/>
        </w:rPr>
      </w:pPr>
      <w:r w:rsidRPr="00C86D55">
        <w:rPr>
          <w:b/>
          <w:bCs/>
          <w:color w:val="000000" w:themeColor="text1"/>
          <w:spacing w:val="8"/>
          <w:shd w:val="clear" w:color="auto" w:fill="FFFFFF"/>
        </w:rPr>
        <w:t>Duración del programa</w:t>
      </w:r>
    </w:p>
    <w:p w14:paraId="3072D1A2" w14:textId="7B7DCDDC" w:rsidR="00C86D55" w:rsidRDefault="00AC170A" w:rsidP="00D25EDA">
      <w:pPr>
        <w:spacing w:line="480" w:lineRule="auto"/>
        <w:ind w:firstLine="708"/>
        <w:rPr>
          <w:lang w:val="es-MX"/>
        </w:rPr>
      </w:pPr>
      <w:r>
        <w:rPr>
          <w:lang w:val="es-MX"/>
        </w:rPr>
        <w:t>En su mayoría, las Universidades de Colombia imparten la carrera profesional de Ingeniería Industrial con una duración de 10 semestres o 5 años. De 22 universidades estudiadas, alrededor del 81,81% la ofertan en este tiempo, entre las que se encuentra la totalidad de instituciones públicas. Solo 3 universidades, todas privadas, imparten la carrera en 8 semestres, la Universidad de los Andes, la Pontificia Universidad Javeriana y la Universidad del Rosario.</w:t>
      </w:r>
      <w:r w:rsidR="00CE1FE8">
        <w:rPr>
          <w:lang w:val="es-MX"/>
        </w:rPr>
        <w:t xml:space="preserve"> L</w:t>
      </w:r>
      <w:r>
        <w:rPr>
          <w:lang w:val="es-MX"/>
        </w:rPr>
        <w:t xml:space="preserve">a Universidad Militar Nueva Granada la otorga en 9 semestres. </w:t>
      </w:r>
    </w:p>
    <w:p w14:paraId="3166B204" w14:textId="6DB2A072" w:rsidR="00AC170A" w:rsidRDefault="0069464D" w:rsidP="00D25EDA">
      <w:pPr>
        <w:spacing w:line="480" w:lineRule="auto"/>
        <w:ind w:firstLine="708"/>
        <w:rPr>
          <w:lang w:val="es-MX"/>
        </w:rPr>
      </w:pPr>
      <w:r>
        <w:rPr>
          <w:lang w:val="es-MX"/>
        </w:rPr>
        <w:t>En cuanto a las internacionales,</w:t>
      </w:r>
      <w:r w:rsidR="00CE1FE8">
        <w:rPr>
          <w:lang w:val="es-MX"/>
        </w:rPr>
        <w:t xml:space="preserve"> e</w:t>
      </w:r>
      <w:r w:rsidR="00AC170A">
        <w:rPr>
          <w:lang w:val="es-MX"/>
        </w:rPr>
        <w:t>l 81,25%</w:t>
      </w:r>
      <w:r w:rsidR="00CE1FE8">
        <w:rPr>
          <w:lang w:val="es-MX"/>
        </w:rPr>
        <w:t xml:space="preserve"> </w:t>
      </w:r>
      <w:r w:rsidR="00AC170A">
        <w:rPr>
          <w:lang w:val="es-MX"/>
        </w:rPr>
        <w:t>imparten la carrera con una duración de 4 años, e inclusive menos como ocurre con la University of Groningen (Países bajos) que lo hace en 6 semestres</w:t>
      </w:r>
      <w:r w:rsidR="00AC170A" w:rsidRPr="008833CE">
        <w:rPr>
          <w:lang w:val="es-MX"/>
        </w:rPr>
        <w:t xml:space="preserve">, no obstante, </w:t>
      </w:r>
      <w:r w:rsidR="00ED2F9A">
        <w:rPr>
          <w:lang w:val="es-MX"/>
        </w:rPr>
        <w:t>instituciones</w:t>
      </w:r>
      <w:r w:rsidR="00AC170A" w:rsidRPr="008833CE">
        <w:rPr>
          <w:lang w:val="es-MX"/>
        </w:rPr>
        <w:t xml:space="preserve"> como la Universidad de Buenos Aires tienen estructurada la carrera para una duración de 6 años.</w:t>
      </w:r>
    </w:p>
    <w:p w14:paraId="3860FA51" w14:textId="39D03B56" w:rsidR="003978B3" w:rsidRDefault="009044B7" w:rsidP="00925F49">
      <w:pPr>
        <w:spacing w:line="480" w:lineRule="auto"/>
        <w:ind w:firstLine="708"/>
        <w:rPr>
          <w:color w:val="000000" w:themeColor="text1"/>
          <w:spacing w:val="8"/>
          <w:shd w:val="clear" w:color="auto" w:fill="FFFFFF"/>
        </w:rPr>
      </w:pPr>
      <w:r>
        <w:rPr>
          <w:lang w:val="es-MX"/>
        </w:rPr>
        <w:t>Respecto</w:t>
      </w:r>
      <w:r w:rsidR="003978B3">
        <w:rPr>
          <w:lang w:val="es-MX"/>
        </w:rPr>
        <w:t xml:space="preserve"> a la totalidad de créditos, la Universidad Nacional Autónoma de México y la Universidad de Buenos Aires son las instituciones con mayor número de créditos en su programa de formación, 448 y 283 respectivamente. Las demás universidades, nacionales e internacionales, oscilan entre 120 y 190 </w:t>
      </w:r>
      <w:r w:rsidR="003978B3" w:rsidRPr="00FF7234">
        <w:rPr>
          <w:lang w:val="es-MX"/>
        </w:rPr>
        <w:t>créditos.</w:t>
      </w:r>
    </w:p>
    <w:p w14:paraId="4ECD98B5" w14:textId="77BC85DC" w:rsidR="00C86D55" w:rsidRDefault="00C86D55" w:rsidP="00782FE5">
      <w:pPr>
        <w:spacing w:line="480" w:lineRule="auto"/>
        <w:rPr>
          <w:b/>
          <w:bCs/>
          <w:color w:val="000000" w:themeColor="text1"/>
          <w:spacing w:val="8"/>
          <w:shd w:val="clear" w:color="auto" w:fill="FFFFFF"/>
        </w:rPr>
      </w:pPr>
      <w:r w:rsidRPr="00C86D55">
        <w:rPr>
          <w:b/>
          <w:bCs/>
          <w:color w:val="000000" w:themeColor="text1"/>
          <w:spacing w:val="8"/>
          <w:shd w:val="clear" w:color="auto" w:fill="FFFFFF"/>
        </w:rPr>
        <w:lastRenderedPageBreak/>
        <w:t>Electivas profesionales</w:t>
      </w:r>
    </w:p>
    <w:p w14:paraId="166847EE" w14:textId="491F861A" w:rsidR="00567C6F" w:rsidRDefault="00567C6F" w:rsidP="000B5D3E">
      <w:pPr>
        <w:spacing w:line="480" w:lineRule="auto"/>
        <w:ind w:firstLine="708"/>
        <w:rPr>
          <w:b/>
          <w:bCs/>
          <w:color w:val="000000" w:themeColor="text1"/>
          <w:spacing w:val="8"/>
          <w:shd w:val="clear" w:color="auto" w:fill="FFFFFF"/>
        </w:rPr>
      </w:pPr>
      <w:r w:rsidRPr="00621D1A">
        <w:rPr>
          <w:lang w:val="es-MX"/>
        </w:rPr>
        <w:t xml:space="preserve">Un aspecto importante que se estudia es el equivalente de los créditos de electivas </w:t>
      </w:r>
      <w:r w:rsidR="006C61AF">
        <w:rPr>
          <w:lang w:val="es-MX"/>
        </w:rPr>
        <w:t xml:space="preserve">profesionales </w:t>
      </w:r>
      <w:r w:rsidRPr="00621D1A">
        <w:rPr>
          <w:lang w:val="es-MX"/>
        </w:rPr>
        <w:t xml:space="preserve">sobre los créditos totales, </w:t>
      </w:r>
      <w:r w:rsidR="00A339C5">
        <w:rPr>
          <w:lang w:val="es-MX"/>
        </w:rPr>
        <w:t>con el fin de</w:t>
      </w:r>
      <w:r w:rsidRPr="00621D1A">
        <w:rPr>
          <w:lang w:val="es-MX"/>
        </w:rPr>
        <w:t xml:space="preserve"> detectar </w:t>
      </w:r>
      <w:r w:rsidR="00A339C5">
        <w:rPr>
          <w:lang w:val="es-MX"/>
        </w:rPr>
        <w:t>el porcentaje de</w:t>
      </w:r>
      <w:r w:rsidRPr="00621D1A">
        <w:rPr>
          <w:lang w:val="es-MX"/>
        </w:rPr>
        <w:t xml:space="preserve"> flexibilidad </w:t>
      </w:r>
      <w:r w:rsidR="00DF6ED4">
        <w:rPr>
          <w:lang w:val="es-MX"/>
        </w:rPr>
        <w:t xml:space="preserve">de plan de estudios </w:t>
      </w:r>
      <w:r w:rsidRPr="00621D1A">
        <w:rPr>
          <w:lang w:val="es-MX"/>
        </w:rPr>
        <w:t xml:space="preserve">que las universidades </w:t>
      </w:r>
      <w:r w:rsidR="0044663A" w:rsidRPr="00621D1A">
        <w:rPr>
          <w:lang w:val="es-MX"/>
        </w:rPr>
        <w:t>les</w:t>
      </w:r>
      <w:r w:rsidRPr="00621D1A">
        <w:rPr>
          <w:lang w:val="es-MX"/>
        </w:rPr>
        <w:t xml:space="preserve"> dan a sus estudiantes para enfocarse en diferentes campos de interés de la Ingeniería Industrial</w:t>
      </w:r>
      <w:r w:rsidR="00DF6ED4">
        <w:rPr>
          <w:lang w:val="es-MX"/>
        </w:rPr>
        <w:t>.</w:t>
      </w:r>
      <w:r>
        <w:rPr>
          <w:lang w:val="es-MX"/>
        </w:rPr>
        <w:t xml:space="preserve"> </w:t>
      </w:r>
    </w:p>
    <w:p w14:paraId="79C22A08" w14:textId="51DFEE2B" w:rsidR="00C54776" w:rsidRPr="00C54776" w:rsidRDefault="00C54776" w:rsidP="000B5D3E">
      <w:pPr>
        <w:spacing w:line="480" w:lineRule="auto"/>
        <w:ind w:firstLine="708"/>
        <w:rPr>
          <w:color w:val="000000" w:themeColor="text1"/>
          <w:spacing w:val="8"/>
          <w:shd w:val="clear" w:color="auto" w:fill="FFFFFF"/>
        </w:rPr>
      </w:pPr>
      <w:r>
        <w:rPr>
          <w:color w:val="000000" w:themeColor="text1"/>
          <w:spacing w:val="8"/>
          <w:shd w:val="clear" w:color="auto" w:fill="FFFFFF"/>
        </w:rPr>
        <w:t xml:space="preserve">En la Tabla 1 y </w:t>
      </w:r>
      <w:r w:rsidR="003250EA">
        <w:rPr>
          <w:color w:val="000000" w:themeColor="text1"/>
          <w:spacing w:val="8"/>
          <w:shd w:val="clear" w:color="auto" w:fill="FFFFFF"/>
        </w:rPr>
        <w:t xml:space="preserve">Tabla </w:t>
      </w:r>
      <w:r>
        <w:rPr>
          <w:color w:val="000000" w:themeColor="text1"/>
          <w:spacing w:val="8"/>
          <w:shd w:val="clear" w:color="auto" w:fill="FFFFFF"/>
        </w:rPr>
        <w:t>2, se encuentran las 5 universidades nacionales e internacionales respectivamente, con mayor flexibilidad de plan de estudios.</w:t>
      </w:r>
    </w:p>
    <w:p w14:paraId="7B465156" w14:textId="34B276E3" w:rsidR="00A5120B" w:rsidRPr="00CD313D" w:rsidRDefault="000B5D3E" w:rsidP="00A5120B">
      <w:pPr>
        <w:spacing w:line="480" w:lineRule="auto"/>
        <w:rPr>
          <w:rFonts w:eastAsia="TimesNewRomanPSMT"/>
          <w:lang w:eastAsia="es-ES_tradnl"/>
        </w:rPr>
      </w:pPr>
      <w:r w:rsidRPr="00A5120B">
        <w:rPr>
          <w:rFonts w:eastAsia="TimesNewRomanPSMT"/>
          <w:lang w:eastAsia="es-ES_tradnl"/>
        </w:rPr>
        <w:tab/>
      </w:r>
      <w:r w:rsidR="00DF6ED4" w:rsidRPr="00A5120B">
        <w:rPr>
          <w:rFonts w:eastAsia="TimesNewRomanPSMT"/>
          <w:lang w:eastAsia="es-ES_tradnl"/>
        </w:rPr>
        <w:t xml:space="preserve">La Universidad Nacional de Colombia </w:t>
      </w:r>
      <w:r w:rsidR="00504445" w:rsidRPr="00A5120B">
        <w:rPr>
          <w:rFonts w:eastAsia="TimesNewRomanPSMT"/>
          <w:lang w:eastAsia="es-ES_tradnl"/>
        </w:rPr>
        <w:t xml:space="preserve">con un 18,09% </w:t>
      </w:r>
      <w:r w:rsidR="00DF6ED4" w:rsidRPr="00A5120B">
        <w:rPr>
          <w:rFonts w:eastAsia="TimesNewRomanPSMT"/>
          <w:lang w:eastAsia="es-ES_tradnl"/>
        </w:rPr>
        <w:t xml:space="preserve">logra posicionarse como la universidad nacional con </w:t>
      </w:r>
      <w:r w:rsidR="00504445" w:rsidRPr="00A5120B">
        <w:rPr>
          <w:rFonts w:eastAsia="TimesNewRomanPSMT"/>
          <w:lang w:eastAsia="es-ES_tradnl"/>
        </w:rPr>
        <w:t xml:space="preserve">el </w:t>
      </w:r>
      <w:r w:rsidR="00DF6ED4" w:rsidRPr="00A5120B">
        <w:rPr>
          <w:rFonts w:eastAsia="TimesNewRomanPSMT"/>
          <w:lang w:eastAsia="es-ES_tradnl"/>
        </w:rPr>
        <w:t>mayor índice de flexibilidad</w:t>
      </w:r>
      <w:r w:rsidR="00B663B2" w:rsidRPr="00A5120B">
        <w:rPr>
          <w:rFonts w:eastAsia="TimesNewRomanPSMT"/>
          <w:lang w:eastAsia="es-ES_tradnl"/>
        </w:rPr>
        <w:t xml:space="preserve"> en su plan de estudios, seguida por la Universidad de los Andes, la Universidad Pontificia Bolivariana, Universidad del</w:t>
      </w:r>
      <w:r w:rsidR="000E01FC" w:rsidRPr="00A5120B">
        <w:rPr>
          <w:rFonts w:eastAsia="TimesNewRomanPSMT"/>
          <w:lang w:eastAsia="es-ES_tradnl"/>
        </w:rPr>
        <w:t xml:space="preserve"> </w:t>
      </w:r>
      <w:r w:rsidR="00B663B2" w:rsidRPr="00A5120B">
        <w:rPr>
          <w:rFonts w:eastAsia="TimesNewRomanPSMT"/>
          <w:lang w:eastAsia="es-ES_tradnl"/>
        </w:rPr>
        <w:t>Rosario y Pontificia Universidad Javeriana</w:t>
      </w:r>
      <w:r w:rsidR="00DF6ED4" w:rsidRPr="00A5120B">
        <w:rPr>
          <w:rFonts w:eastAsia="TimesNewRomanPSMT"/>
          <w:lang w:eastAsia="es-ES_tradnl"/>
        </w:rPr>
        <w:t>.</w:t>
      </w:r>
      <w:r w:rsidR="00CD577D" w:rsidRPr="00A5120B">
        <w:rPr>
          <w:rFonts w:eastAsia="TimesNewRomanPSMT"/>
          <w:lang w:eastAsia="es-ES_tradnl"/>
        </w:rPr>
        <w:t xml:space="preserve"> </w:t>
      </w:r>
      <w:r w:rsidR="00A5120B">
        <w:rPr>
          <w:rFonts w:eastAsia="TimesNewRomanPSMT"/>
          <w:lang w:eastAsia="es-ES_tradnl"/>
        </w:rPr>
        <w:t xml:space="preserve"> </w:t>
      </w:r>
      <w:r w:rsidR="00CD577D" w:rsidRPr="00A5120B">
        <w:rPr>
          <w:rFonts w:eastAsia="TimesNewRomanPSMT"/>
          <w:lang w:eastAsia="es-ES_tradnl"/>
        </w:rPr>
        <w:t>En la Tabla 1 se observan los porcentajes correspondientes a cada una.</w:t>
      </w:r>
    </w:p>
    <w:p w14:paraId="7ABE6240" w14:textId="7CA5AF63" w:rsidR="00CD577D" w:rsidRPr="00CD577D" w:rsidRDefault="00020FD6" w:rsidP="00A5120B">
      <w:pPr>
        <w:spacing w:line="480" w:lineRule="auto"/>
        <w:rPr>
          <w:rFonts w:eastAsia="TimesNewRomanPSMT"/>
          <w:b/>
          <w:lang w:eastAsia="es-ES_tradnl"/>
        </w:rPr>
      </w:pPr>
      <w:r w:rsidRPr="00AF2D07">
        <w:rPr>
          <w:rFonts w:eastAsia="TimesNewRomanPSMT"/>
          <w:b/>
          <w:lang w:eastAsia="es-ES_tradnl"/>
        </w:rPr>
        <w:t xml:space="preserve">Tabla </w:t>
      </w:r>
      <w:r w:rsidR="00671C80" w:rsidRPr="00AF2D07">
        <w:rPr>
          <w:rFonts w:eastAsia="TimesNewRomanPSMT"/>
          <w:b/>
          <w:lang w:eastAsia="es-ES_tradnl"/>
        </w:rPr>
        <w:t>1</w:t>
      </w:r>
      <w:r w:rsidRPr="00AF2D07">
        <w:rPr>
          <w:rFonts w:eastAsia="TimesNewRomanPSMT"/>
          <w:b/>
          <w:lang w:eastAsia="es-ES_tradnl"/>
        </w:rPr>
        <w:t>.</w:t>
      </w:r>
    </w:p>
    <w:p w14:paraId="2E196CC3" w14:textId="71E1B3DF" w:rsidR="00020FD6" w:rsidRPr="00AF2D07" w:rsidRDefault="00671C80" w:rsidP="00A5120B">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jc w:val="both"/>
        <w:rPr>
          <w:rFonts w:ascii="TimesNewRomanPSMT" w:eastAsia="TimesNewRomanPSMT" w:hAnsi="TimesNewRomanPSMT" w:cs="TimesNewRomanPSMT"/>
          <w:bCs/>
          <w:i/>
          <w:iCs/>
          <w:lang w:eastAsia="es-ES_tradnl"/>
        </w:rPr>
      </w:pPr>
      <w:r w:rsidRPr="00AF2D07">
        <w:rPr>
          <w:rFonts w:ascii="TimesNewRomanPSMT" w:eastAsia="TimesNewRomanPSMT" w:hAnsi="TimesNewRomanPSMT" w:cs="TimesNewRomanPSMT"/>
          <w:bCs/>
          <w:i/>
          <w:iCs/>
          <w:lang w:eastAsia="es-ES_tradnl"/>
        </w:rPr>
        <w:t>Electivas profesionales cursadas en las universidades nacionales</w:t>
      </w:r>
    </w:p>
    <w:tbl>
      <w:tblPr>
        <w:tblStyle w:val="Tablanormal2"/>
        <w:tblW w:w="9114" w:type="dxa"/>
        <w:tblLook w:val="06A0" w:firstRow="1" w:lastRow="0" w:firstColumn="1" w:lastColumn="0" w:noHBand="1" w:noVBand="1"/>
      </w:tblPr>
      <w:tblGrid>
        <w:gridCol w:w="5089"/>
        <w:gridCol w:w="907"/>
        <w:gridCol w:w="2126"/>
        <w:gridCol w:w="992"/>
      </w:tblGrid>
      <w:tr w:rsidR="000E01FC" w:rsidRPr="00B55044" w14:paraId="5A7040FC" w14:textId="77777777" w:rsidTr="00A974D0">
        <w:trPr>
          <w:cnfStyle w:val="100000000000" w:firstRow="1" w:lastRow="0" w:firstColumn="0" w:lastColumn="0" w:oddVBand="0" w:evenVBand="0" w:oddHBand="0" w:evenHBand="0" w:firstRowFirstColumn="0" w:firstRowLastColumn="0" w:lastRowFirstColumn="0" w:lastRowLastColumn="0"/>
          <w:trHeight w:val="710"/>
        </w:trPr>
        <w:tc>
          <w:tcPr>
            <w:cnfStyle w:val="001000000000" w:firstRow="0" w:lastRow="0" w:firstColumn="1" w:lastColumn="0" w:oddVBand="0" w:evenVBand="0" w:oddHBand="0" w:evenHBand="0" w:firstRowFirstColumn="0" w:firstRowLastColumn="0" w:lastRowFirstColumn="0" w:lastRowLastColumn="0"/>
            <w:tcW w:w="5089" w:type="dxa"/>
            <w:hideMark/>
          </w:tcPr>
          <w:p w14:paraId="58BC2F20" w14:textId="77777777" w:rsidR="000E01FC" w:rsidRPr="007072B7"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b w:val="0"/>
                <w:color w:val="000000"/>
                <w:sz w:val="20"/>
                <w:szCs w:val="18"/>
                <w:lang w:val="es-ES_tradnl" w:eastAsia="es-ES_tradnl"/>
              </w:rPr>
            </w:pPr>
            <w:r w:rsidRPr="007072B7">
              <w:rPr>
                <w:rFonts w:ascii="Avenir LT Std 35 Light" w:eastAsia="Sabon MT Std" w:hAnsi="Avenir LT Std 35 Light" w:cs="Sabon MT Std"/>
                <w:color w:val="000000"/>
                <w:sz w:val="20"/>
                <w:szCs w:val="18"/>
                <w:lang w:val="es-ES_tradnl" w:eastAsia="es-ES_tradnl"/>
              </w:rPr>
              <w:t>Universidad</w:t>
            </w:r>
          </w:p>
        </w:tc>
        <w:tc>
          <w:tcPr>
            <w:tcW w:w="907" w:type="dxa"/>
            <w:hideMark/>
          </w:tcPr>
          <w:p w14:paraId="4668BF82" w14:textId="77777777" w:rsidR="000E01FC" w:rsidRPr="007072B7"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100000000000" w:firstRow="1" w:lastRow="0" w:firstColumn="0" w:lastColumn="0" w:oddVBand="0" w:evenVBand="0" w:oddHBand="0" w:evenHBand="0" w:firstRowFirstColumn="0" w:firstRowLastColumn="0" w:lastRowFirstColumn="0" w:lastRowLastColumn="0"/>
              <w:rPr>
                <w:rFonts w:ascii="Avenir LT Std 35 Light" w:eastAsia="Sabon MT Std" w:hAnsi="Avenir LT Std 35 Light" w:cs="Sabon MT Std"/>
                <w:b w:val="0"/>
                <w:color w:val="000000"/>
                <w:sz w:val="20"/>
                <w:szCs w:val="18"/>
                <w:lang w:val="es-ES_tradnl" w:eastAsia="es-ES_tradnl"/>
              </w:rPr>
            </w:pPr>
            <w:r w:rsidRPr="007072B7">
              <w:rPr>
                <w:rFonts w:ascii="Avenir LT Std 35 Light" w:eastAsia="Sabon MT Std" w:hAnsi="Avenir LT Std 35 Light" w:cs="Sabon MT Std"/>
                <w:color w:val="000000"/>
                <w:sz w:val="20"/>
                <w:szCs w:val="18"/>
                <w:lang w:val="es-ES_tradnl" w:eastAsia="es-ES_tradnl"/>
              </w:rPr>
              <w:t>Créditos totales</w:t>
            </w:r>
          </w:p>
        </w:tc>
        <w:tc>
          <w:tcPr>
            <w:tcW w:w="2126" w:type="dxa"/>
            <w:hideMark/>
          </w:tcPr>
          <w:p w14:paraId="3B87B2BF" w14:textId="77777777" w:rsidR="000E01FC" w:rsidRPr="007072B7"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100000000000" w:firstRow="1" w:lastRow="0" w:firstColumn="0" w:lastColumn="0" w:oddVBand="0" w:evenVBand="0" w:oddHBand="0" w:evenHBand="0" w:firstRowFirstColumn="0" w:firstRowLastColumn="0" w:lastRowFirstColumn="0" w:lastRowLastColumn="0"/>
              <w:rPr>
                <w:rFonts w:ascii="Avenir LT Std 35 Light" w:eastAsia="Sabon MT Std" w:hAnsi="Avenir LT Std 35 Light" w:cs="Sabon MT Std"/>
                <w:b w:val="0"/>
                <w:color w:val="000000"/>
                <w:sz w:val="20"/>
                <w:szCs w:val="18"/>
                <w:lang w:val="es-ES_tradnl" w:eastAsia="es-ES_tradnl"/>
              </w:rPr>
            </w:pPr>
            <w:r w:rsidRPr="007072B7">
              <w:rPr>
                <w:rFonts w:ascii="Avenir LT Std 35 Light" w:eastAsia="Sabon MT Std" w:hAnsi="Avenir LT Std 35 Light" w:cs="Sabon MT Std"/>
                <w:color w:val="000000"/>
                <w:sz w:val="20"/>
                <w:szCs w:val="18"/>
                <w:lang w:val="es-ES_tradnl" w:eastAsia="es-ES_tradnl"/>
              </w:rPr>
              <w:t>Créditos Electivas profesionales</w:t>
            </w:r>
          </w:p>
        </w:tc>
        <w:tc>
          <w:tcPr>
            <w:tcW w:w="992" w:type="dxa"/>
            <w:hideMark/>
          </w:tcPr>
          <w:p w14:paraId="5FE11F07" w14:textId="77777777" w:rsidR="000E01FC" w:rsidRPr="007072B7"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100000000000" w:firstRow="1" w:lastRow="0" w:firstColumn="0" w:lastColumn="0" w:oddVBand="0" w:evenVBand="0" w:oddHBand="0" w:evenHBand="0" w:firstRowFirstColumn="0" w:firstRowLastColumn="0" w:lastRowFirstColumn="0" w:lastRowLastColumn="0"/>
              <w:rPr>
                <w:rFonts w:ascii="Avenir LT Std 35 Light" w:eastAsia="Sabon MT Std" w:hAnsi="Avenir LT Std 35 Light" w:cs="Sabon MT Std"/>
                <w:b w:val="0"/>
                <w:color w:val="000000"/>
                <w:sz w:val="20"/>
                <w:szCs w:val="18"/>
                <w:lang w:val="es-ES_tradnl" w:eastAsia="es-ES_tradnl"/>
              </w:rPr>
            </w:pPr>
            <w:r w:rsidRPr="007072B7">
              <w:rPr>
                <w:rFonts w:ascii="Avenir LT Std 35 Light" w:eastAsia="Sabon MT Std" w:hAnsi="Avenir LT Std 35 Light" w:cs="Sabon MT Std"/>
                <w:color w:val="000000"/>
                <w:sz w:val="20"/>
                <w:szCs w:val="18"/>
                <w:lang w:val="es-ES_tradnl" w:eastAsia="es-ES_tradnl"/>
              </w:rPr>
              <w:t>%</w:t>
            </w:r>
          </w:p>
        </w:tc>
      </w:tr>
      <w:tr w:rsidR="000E01FC" w:rsidRPr="007072B7" w14:paraId="0E06906A" w14:textId="77777777" w:rsidTr="00A974D0">
        <w:trPr>
          <w:trHeight w:val="315"/>
        </w:trPr>
        <w:tc>
          <w:tcPr>
            <w:cnfStyle w:val="001000000000" w:firstRow="0" w:lastRow="0" w:firstColumn="1" w:lastColumn="0" w:oddVBand="0" w:evenVBand="0" w:oddHBand="0" w:evenHBand="0" w:firstRowFirstColumn="0" w:firstRowLastColumn="0" w:lastRowFirstColumn="0" w:lastRowLastColumn="0"/>
            <w:tcW w:w="5089" w:type="dxa"/>
            <w:noWrap/>
            <w:hideMark/>
          </w:tcPr>
          <w:p w14:paraId="1F79DD8A" w14:textId="77777777" w:rsidR="000E01FC" w:rsidRPr="00724C75"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b w:val="0"/>
                <w:color w:val="000000"/>
                <w:sz w:val="18"/>
                <w:szCs w:val="18"/>
                <w:lang w:val="es-ES_tradnl" w:eastAsia="es-ES_tradnl"/>
              </w:rPr>
            </w:pPr>
            <w:r w:rsidRPr="00724C75">
              <w:rPr>
                <w:rFonts w:ascii="Avenir LT Std 35 Light" w:eastAsia="Sabon MT Std" w:hAnsi="Avenir LT Std 35 Light" w:cs="Sabon MT Std"/>
                <w:b w:val="0"/>
                <w:color w:val="000000"/>
                <w:sz w:val="18"/>
                <w:szCs w:val="18"/>
                <w:lang w:val="es-ES_tradnl" w:eastAsia="es-ES_tradnl"/>
              </w:rPr>
              <w:t>Universidad Nacional de Colombia</w:t>
            </w:r>
          </w:p>
        </w:tc>
        <w:tc>
          <w:tcPr>
            <w:tcW w:w="907" w:type="dxa"/>
            <w:noWrap/>
            <w:hideMark/>
          </w:tcPr>
          <w:p w14:paraId="2134B061" w14:textId="77777777" w:rsidR="000E01FC" w:rsidRPr="00724C75"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bCs/>
                <w:color w:val="000000"/>
                <w:sz w:val="18"/>
                <w:szCs w:val="18"/>
                <w:lang w:val="es-ES_tradnl" w:eastAsia="es-ES_tradnl"/>
              </w:rPr>
            </w:pPr>
            <w:r w:rsidRPr="00724C75">
              <w:rPr>
                <w:rFonts w:ascii="Avenir LT Std 35 Light" w:eastAsia="Sabon MT Std" w:hAnsi="Avenir LT Std 35 Light" w:cs="Sabon MT Std"/>
                <w:bCs/>
                <w:color w:val="000000"/>
                <w:sz w:val="18"/>
                <w:szCs w:val="18"/>
                <w:lang w:val="es-ES_tradnl" w:eastAsia="es-ES_tradnl"/>
              </w:rPr>
              <w:t>188</w:t>
            </w:r>
          </w:p>
        </w:tc>
        <w:tc>
          <w:tcPr>
            <w:tcW w:w="2126" w:type="dxa"/>
            <w:noWrap/>
            <w:hideMark/>
          </w:tcPr>
          <w:p w14:paraId="7D5F4A62" w14:textId="77777777" w:rsidR="000E01FC" w:rsidRPr="00724C75"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bCs/>
                <w:color w:val="000000"/>
                <w:sz w:val="18"/>
                <w:szCs w:val="18"/>
                <w:lang w:val="es-ES_tradnl" w:eastAsia="es-ES_tradnl"/>
              </w:rPr>
            </w:pPr>
            <w:r w:rsidRPr="00724C75">
              <w:rPr>
                <w:rFonts w:ascii="Avenir LT Std 35 Light" w:eastAsia="Sabon MT Std" w:hAnsi="Avenir LT Std 35 Light" w:cs="Sabon MT Std"/>
                <w:bCs/>
                <w:color w:val="000000"/>
                <w:sz w:val="18"/>
                <w:szCs w:val="18"/>
                <w:lang w:val="es-ES_tradnl" w:eastAsia="es-ES_tradnl"/>
              </w:rPr>
              <w:t>34</w:t>
            </w:r>
          </w:p>
        </w:tc>
        <w:tc>
          <w:tcPr>
            <w:tcW w:w="992" w:type="dxa"/>
            <w:noWrap/>
            <w:hideMark/>
          </w:tcPr>
          <w:p w14:paraId="4BB586F0" w14:textId="77777777" w:rsidR="000E01FC" w:rsidRPr="00724C75"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bCs/>
                <w:color w:val="000000"/>
                <w:sz w:val="18"/>
                <w:szCs w:val="18"/>
                <w:lang w:val="es-ES_tradnl" w:eastAsia="es-ES_tradnl"/>
              </w:rPr>
            </w:pPr>
            <w:r w:rsidRPr="00724C75">
              <w:rPr>
                <w:rFonts w:ascii="Avenir LT Std 35 Light" w:eastAsia="Sabon MT Std" w:hAnsi="Avenir LT Std 35 Light" w:cs="Sabon MT Std"/>
                <w:bCs/>
                <w:color w:val="000000"/>
                <w:sz w:val="18"/>
                <w:szCs w:val="18"/>
                <w:lang w:val="es-ES_tradnl" w:eastAsia="es-ES_tradnl"/>
              </w:rPr>
              <w:t>18,09%</w:t>
            </w:r>
          </w:p>
        </w:tc>
      </w:tr>
      <w:tr w:rsidR="000E01FC" w:rsidRPr="007072B7" w14:paraId="591754C7" w14:textId="77777777" w:rsidTr="00A974D0">
        <w:trPr>
          <w:trHeight w:val="315"/>
        </w:trPr>
        <w:tc>
          <w:tcPr>
            <w:cnfStyle w:val="001000000000" w:firstRow="0" w:lastRow="0" w:firstColumn="1" w:lastColumn="0" w:oddVBand="0" w:evenVBand="0" w:oddHBand="0" w:evenHBand="0" w:firstRowFirstColumn="0" w:firstRowLastColumn="0" w:lastRowFirstColumn="0" w:lastRowLastColumn="0"/>
            <w:tcW w:w="5089" w:type="dxa"/>
            <w:noWrap/>
            <w:hideMark/>
          </w:tcPr>
          <w:p w14:paraId="2CDEE336" w14:textId="77777777" w:rsidR="000E01FC" w:rsidRPr="00724C75"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b w:val="0"/>
                <w:color w:val="000000"/>
                <w:sz w:val="18"/>
                <w:szCs w:val="18"/>
                <w:lang w:val="es-ES_tradnl" w:eastAsia="es-ES_tradnl"/>
              </w:rPr>
            </w:pPr>
            <w:r w:rsidRPr="00724C75">
              <w:rPr>
                <w:rFonts w:ascii="Avenir LT Std 35 Light" w:eastAsia="Sabon MT Std" w:hAnsi="Avenir LT Std 35 Light" w:cs="Sabon MT Std"/>
                <w:b w:val="0"/>
                <w:color w:val="000000"/>
                <w:sz w:val="18"/>
                <w:szCs w:val="18"/>
                <w:lang w:val="es-ES_tradnl" w:eastAsia="es-ES_tradnl"/>
              </w:rPr>
              <w:t>Universidad de los Andes</w:t>
            </w:r>
          </w:p>
        </w:tc>
        <w:tc>
          <w:tcPr>
            <w:tcW w:w="907" w:type="dxa"/>
            <w:noWrap/>
            <w:hideMark/>
          </w:tcPr>
          <w:p w14:paraId="7DBF6B00" w14:textId="77777777" w:rsidR="000E01FC" w:rsidRPr="00724C75"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bCs/>
                <w:color w:val="000000"/>
                <w:sz w:val="18"/>
                <w:szCs w:val="18"/>
                <w:lang w:val="es-ES_tradnl" w:eastAsia="es-ES_tradnl"/>
              </w:rPr>
            </w:pPr>
            <w:r w:rsidRPr="00724C75">
              <w:rPr>
                <w:rFonts w:ascii="Avenir LT Std 35 Light" w:eastAsia="Sabon MT Std" w:hAnsi="Avenir LT Std 35 Light" w:cs="Sabon MT Std"/>
                <w:bCs/>
                <w:color w:val="000000"/>
                <w:sz w:val="18"/>
                <w:szCs w:val="18"/>
                <w:lang w:val="es-ES_tradnl" w:eastAsia="es-ES_tradnl"/>
              </w:rPr>
              <w:t>134</w:t>
            </w:r>
          </w:p>
        </w:tc>
        <w:tc>
          <w:tcPr>
            <w:tcW w:w="2126" w:type="dxa"/>
            <w:noWrap/>
            <w:hideMark/>
          </w:tcPr>
          <w:p w14:paraId="3378DDC8" w14:textId="77777777" w:rsidR="000E01FC" w:rsidRPr="00724C75"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bCs/>
                <w:color w:val="000000"/>
                <w:sz w:val="18"/>
                <w:szCs w:val="18"/>
                <w:lang w:val="es-ES_tradnl" w:eastAsia="es-ES_tradnl"/>
              </w:rPr>
            </w:pPr>
            <w:r w:rsidRPr="00724C75">
              <w:rPr>
                <w:rFonts w:ascii="Avenir LT Std 35 Light" w:eastAsia="Sabon MT Std" w:hAnsi="Avenir LT Std 35 Light" w:cs="Sabon MT Std"/>
                <w:bCs/>
                <w:color w:val="000000"/>
                <w:sz w:val="18"/>
                <w:szCs w:val="18"/>
                <w:lang w:val="es-ES_tradnl" w:eastAsia="es-ES_tradnl"/>
              </w:rPr>
              <w:t>24</w:t>
            </w:r>
          </w:p>
        </w:tc>
        <w:tc>
          <w:tcPr>
            <w:tcW w:w="992" w:type="dxa"/>
            <w:noWrap/>
            <w:hideMark/>
          </w:tcPr>
          <w:p w14:paraId="3EE10205" w14:textId="77777777" w:rsidR="000E01FC" w:rsidRPr="00724C75"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bCs/>
                <w:color w:val="000000"/>
                <w:sz w:val="18"/>
                <w:szCs w:val="18"/>
                <w:lang w:val="es-ES_tradnl" w:eastAsia="es-ES_tradnl"/>
              </w:rPr>
            </w:pPr>
            <w:r w:rsidRPr="00724C75">
              <w:rPr>
                <w:rFonts w:ascii="Avenir LT Std 35 Light" w:eastAsia="Sabon MT Std" w:hAnsi="Avenir LT Std 35 Light" w:cs="Sabon MT Std"/>
                <w:bCs/>
                <w:color w:val="000000"/>
                <w:sz w:val="18"/>
                <w:szCs w:val="18"/>
                <w:lang w:val="es-ES_tradnl" w:eastAsia="es-ES_tradnl"/>
              </w:rPr>
              <w:t>17,91%</w:t>
            </w:r>
          </w:p>
        </w:tc>
      </w:tr>
      <w:tr w:rsidR="000E01FC" w:rsidRPr="007072B7" w14:paraId="3B91B322" w14:textId="77777777" w:rsidTr="00A974D0">
        <w:trPr>
          <w:trHeight w:val="315"/>
        </w:trPr>
        <w:tc>
          <w:tcPr>
            <w:cnfStyle w:val="001000000000" w:firstRow="0" w:lastRow="0" w:firstColumn="1" w:lastColumn="0" w:oddVBand="0" w:evenVBand="0" w:oddHBand="0" w:evenHBand="0" w:firstRowFirstColumn="0" w:firstRowLastColumn="0" w:lastRowFirstColumn="0" w:lastRowLastColumn="0"/>
            <w:tcW w:w="5089" w:type="dxa"/>
            <w:noWrap/>
            <w:hideMark/>
          </w:tcPr>
          <w:p w14:paraId="6F1C43C3" w14:textId="77777777" w:rsidR="000E01FC" w:rsidRPr="00724C75"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b w:val="0"/>
                <w:color w:val="000000"/>
                <w:sz w:val="18"/>
                <w:szCs w:val="18"/>
                <w:lang w:val="es-ES_tradnl" w:eastAsia="es-ES_tradnl"/>
              </w:rPr>
            </w:pPr>
            <w:r w:rsidRPr="00724C75">
              <w:rPr>
                <w:rFonts w:ascii="Avenir LT Std 35 Light" w:eastAsia="Sabon MT Std" w:hAnsi="Avenir LT Std 35 Light" w:cs="Sabon MT Std"/>
                <w:b w:val="0"/>
                <w:color w:val="000000"/>
                <w:sz w:val="18"/>
                <w:szCs w:val="18"/>
                <w:lang w:val="es-ES_tradnl" w:eastAsia="es-ES_tradnl"/>
              </w:rPr>
              <w:t>Universidad Pontificia Bolivariana</w:t>
            </w:r>
          </w:p>
        </w:tc>
        <w:tc>
          <w:tcPr>
            <w:tcW w:w="907" w:type="dxa"/>
            <w:noWrap/>
            <w:hideMark/>
          </w:tcPr>
          <w:p w14:paraId="2A607824" w14:textId="77777777" w:rsidR="000E01FC" w:rsidRPr="00724C75"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bCs/>
                <w:color w:val="000000"/>
                <w:sz w:val="18"/>
                <w:szCs w:val="18"/>
                <w:lang w:val="es-ES_tradnl" w:eastAsia="es-ES_tradnl"/>
              </w:rPr>
            </w:pPr>
            <w:r w:rsidRPr="00724C75">
              <w:rPr>
                <w:rFonts w:ascii="Avenir LT Std 35 Light" w:eastAsia="Sabon MT Std" w:hAnsi="Avenir LT Std 35 Light" w:cs="Sabon MT Std"/>
                <w:bCs/>
                <w:color w:val="000000"/>
                <w:sz w:val="18"/>
                <w:szCs w:val="18"/>
                <w:lang w:val="es-ES_tradnl" w:eastAsia="es-ES_tradnl"/>
              </w:rPr>
              <w:t>157</w:t>
            </w:r>
          </w:p>
        </w:tc>
        <w:tc>
          <w:tcPr>
            <w:tcW w:w="2126" w:type="dxa"/>
            <w:noWrap/>
            <w:hideMark/>
          </w:tcPr>
          <w:p w14:paraId="51EDD0EC" w14:textId="77777777" w:rsidR="000E01FC" w:rsidRPr="00724C75"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bCs/>
                <w:color w:val="000000"/>
                <w:sz w:val="18"/>
                <w:szCs w:val="18"/>
                <w:lang w:val="es-ES_tradnl" w:eastAsia="es-ES_tradnl"/>
              </w:rPr>
            </w:pPr>
            <w:r w:rsidRPr="00724C75">
              <w:rPr>
                <w:rFonts w:ascii="Avenir LT Std 35 Light" w:eastAsia="Sabon MT Std" w:hAnsi="Avenir LT Std 35 Light" w:cs="Sabon MT Std"/>
                <w:bCs/>
                <w:color w:val="000000"/>
                <w:sz w:val="18"/>
                <w:szCs w:val="18"/>
                <w:lang w:val="es-ES_tradnl" w:eastAsia="es-ES_tradnl"/>
              </w:rPr>
              <w:t>21</w:t>
            </w:r>
          </w:p>
        </w:tc>
        <w:tc>
          <w:tcPr>
            <w:tcW w:w="992" w:type="dxa"/>
            <w:noWrap/>
            <w:hideMark/>
          </w:tcPr>
          <w:p w14:paraId="2B74D164" w14:textId="77777777" w:rsidR="000E01FC" w:rsidRPr="00724C75"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bCs/>
                <w:color w:val="000000"/>
                <w:sz w:val="18"/>
                <w:szCs w:val="18"/>
                <w:lang w:val="es-ES_tradnl" w:eastAsia="es-ES_tradnl"/>
              </w:rPr>
            </w:pPr>
            <w:r w:rsidRPr="00724C75">
              <w:rPr>
                <w:rFonts w:ascii="Avenir LT Std 35 Light" w:eastAsia="Sabon MT Std" w:hAnsi="Avenir LT Std 35 Light" w:cs="Sabon MT Std"/>
                <w:bCs/>
                <w:color w:val="000000"/>
                <w:sz w:val="18"/>
                <w:szCs w:val="18"/>
                <w:lang w:val="es-ES_tradnl" w:eastAsia="es-ES_tradnl"/>
              </w:rPr>
              <w:t>13,38%</w:t>
            </w:r>
          </w:p>
        </w:tc>
      </w:tr>
      <w:tr w:rsidR="000E01FC" w:rsidRPr="007072B7" w14:paraId="1B6509A7" w14:textId="77777777" w:rsidTr="00A974D0">
        <w:trPr>
          <w:trHeight w:val="315"/>
        </w:trPr>
        <w:tc>
          <w:tcPr>
            <w:cnfStyle w:val="001000000000" w:firstRow="0" w:lastRow="0" w:firstColumn="1" w:lastColumn="0" w:oddVBand="0" w:evenVBand="0" w:oddHBand="0" w:evenHBand="0" w:firstRowFirstColumn="0" w:firstRowLastColumn="0" w:lastRowFirstColumn="0" w:lastRowLastColumn="0"/>
            <w:tcW w:w="5089" w:type="dxa"/>
            <w:noWrap/>
            <w:hideMark/>
          </w:tcPr>
          <w:p w14:paraId="5F91F5F8" w14:textId="77777777" w:rsidR="000E01FC" w:rsidRPr="00724C75"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b w:val="0"/>
                <w:color w:val="000000"/>
                <w:sz w:val="18"/>
                <w:szCs w:val="18"/>
                <w:lang w:val="es-ES_tradnl" w:eastAsia="es-ES_tradnl"/>
              </w:rPr>
            </w:pPr>
            <w:r w:rsidRPr="00724C75">
              <w:rPr>
                <w:rFonts w:ascii="Avenir LT Std 35 Light" w:eastAsia="Sabon MT Std" w:hAnsi="Avenir LT Std 35 Light" w:cs="Sabon MT Std"/>
                <w:b w:val="0"/>
                <w:color w:val="000000"/>
                <w:sz w:val="18"/>
                <w:szCs w:val="18"/>
                <w:lang w:val="es-ES_tradnl" w:eastAsia="es-ES_tradnl"/>
              </w:rPr>
              <w:t>Universidad del Rosario</w:t>
            </w:r>
          </w:p>
        </w:tc>
        <w:tc>
          <w:tcPr>
            <w:tcW w:w="907" w:type="dxa"/>
            <w:noWrap/>
            <w:hideMark/>
          </w:tcPr>
          <w:p w14:paraId="7D960408" w14:textId="77777777" w:rsidR="000E01FC" w:rsidRPr="00724C75"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bCs/>
                <w:color w:val="000000"/>
                <w:sz w:val="18"/>
                <w:szCs w:val="18"/>
                <w:lang w:val="es-ES_tradnl" w:eastAsia="es-ES_tradnl"/>
              </w:rPr>
            </w:pPr>
            <w:r w:rsidRPr="00724C75">
              <w:rPr>
                <w:rFonts w:ascii="Avenir LT Std 35 Light" w:eastAsia="Sabon MT Std" w:hAnsi="Avenir LT Std 35 Light" w:cs="Sabon MT Std"/>
                <w:bCs/>
                <w:color w:val="000000"/>
                <w:sz w:val="18"/>
                <w:szCs w:val="18"/>
                <w:lang w:val="es-ES_tradnl" w:eastAsia="es-ES_tradnl"/>
              </w:rPr>
              <w:t>136</w:t>
            </w:r>
          </w:p>
        </w:tc>
        <w:tc>
          <w:tcPr>
            <w:tcW w:w="2126" w:type="dxa"/>
            <w:noWrap/>
            <w:hideMark/>
          </w:tcPr>
          <w:p w14:paraId="7F25980B" w14:textId="77777777" w:rsidR="000E01FC" w:rsidRPr="00724C75"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bCs/>
                <w:color w:val="000000"/>
                <w:sz w:val="18"/>
                <w:szCs w:val="18"/>
                <w:lang w:val="es-ES_tradnl" w:eastAsia="es-ES_tradnl"/>
              </w:rPr>
            </w:pPr>
            <w:r w:rsidRPr="00724C75">
              <w:rPr>
                <w:rFonts w:ascii="Avenir LT Std 35 Light" w:eastAsia="Sabon MT Std" w:hAnsi="Avenir LT Std 35 Light" w:cs="Sabon MT Std"/>
                <w:bCs/>
                <w:color w:val="000000"/>
                <w:sz w:val="18"/>
                <w:szCs w:val="18"/>
                <w:lang w:val="es-ES_tradnl" w:eastAsia="es-ES_tradnl"/>
              </w:rPr>
              <w:t>18</w:t>
            </w:r>
          </w:p>
        </w:tc>
        <w:tc>
          <w:tcPr>
            <w:tcW w:w="992" w:type="dxa"/>
            <w:noWrap/>
            <w:hideMark/>
          </w:tcPr>
          <w:p w14:paraId="6046E8FD" w14:textId="77777777" w:rsidR="000E01FC" w:rsidRPr="00724C75"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bCs/>
                <w:color w:val="000000"/>
                <w:sz w:val="18"/>
                <w:szCs w:val="18"/>
                <w:lang w:val="es-ES_tradnl" w:eastAsia="es-ES_tradnl"/>
              </w:rPr>
            </w:pPr>
            <w:r w:rsidRPr="00724C75">
              <w:rPr>
                <w:rFonts w:ascii="Avenir LT Std 35 Light" w:eastAsia="Sabon MT Std" w:hAnsi="Avenir LT Std 35 Light" w:cs="Sabon MT Std"/>
                <w:bCs/>
                <w:color w:val="000000"/>
                <w:sz w:val="18"/>
                <w:szCs w:val="18"/>
                <w:lang w:val="es-ES_tradnl" w:eastAsia="es-ES_tradnl"/>
              </w:rPr>
              <w:t>13,24%</w:t>
            </w:r>
          </w:p>
        </w:tc>
      </w:tr>
      <w:tr w:rsidR="000E01FC" w:rsidRPr="007072B7" w14:paraId="3FD98460" w14:textId="77777777" w:rsidTr="00A974D0">
        <w:trPr>
          <w:trHeight w:val="315"/>
        </w:trPr>
        <w:tc>
          <w:tcPr>
            <w:cnfStyle w:val="001000000000" w:firstRow="0" w:lastRow="0" w:firstColumn="1" w:lastColumn="0" w:oddVBand="0" w:evenVBand="0" w:oddHBand="0" w:evenHBand="0" w:firstRowFirstColumn="0" w:firstRowLastColumn="0" w:lastRowFirstColumn="0" w:lastRowLastColumn="0"/>
            <w:tcW w:w="5089" w:type="dxa"/>
            <w:noWrap/>
            <w:hideMark/>
          </w:tcPr>
          <w:p w14:paraId="0E301A0C" w14:textId="77777777" w:rsidR="000E01FC" w:rsidRPr="00724C75"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b w:val="0"/>
                <w:color w:val="000000"/>
                <w:sz w:val="18"/>
                <w:szCs w:val="18"/>
                <w:lang w:val="es-ES_tradnl" w:eastAsia="es-ES_tradnl"/>
              </w:rPr>
            </w:pPr>
            <w:r w:rsidRPr="00724C75">
              <w:rPr>
                <w:rFonts w:ascii="Avenir LT Std 35 Light" w:eastAsia="Sabon MT Std" w:hAnsi="Avenir LT Std 35 Light" w:cs="Sabon MT Std"/>
                <w:b w:val="0"/>
                <w:color w:val="000000"/>
                <w:sz w:val="18"/>
                <w:szCs w:val="18"/>
                <w:lang w:val="es-ES_tradnl" w:eastAsia="es-ES_tradnl"/>
              </w:rPr>
              <w:t>Pontificia Universidad Javeriana</w:t>
            </w:r>
          </w:p>
        </w:tc>
        <w:tc>
          <w:tcPr>
            <w:tcW w:w="907" w:type="dxa"/>
            <w:noWrap/>
            <w:hideMark/>
          </w:tcPr>
          <w:p w14:paraId="6663F1AF" w14:textId="77777777" w:rsidR="000E01FC" w:rsidRPr="00724C75"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bCs/>
                <w:color w:val="000000"/>
                <w:sz w:val="18"/>
                <w:szCs w:val="18"/>
                <w:lang w:val="es-ES_tradnl" w:eastAsia="es-ES_tradnl"/>
              </w:rPr>
            </w:pPr>
            <w:r w:rsidRPr="00724C75">
              <w:rPr>
                <w:rFonts w:ascii="Avenir LT Std 35 Light" w:eastAsia="Sabon MT Std" w:hAnsi="Avenir LT Std 35 Light" w:cs="Sabon MT Std"/>
                <w:bCs/>
                <w:color w:val="000000"/>
                <w:sz w:val="18"/>
                <w:szCs w:val="18"/>
                <w:lang w:val="es-ES_tradnl" w:eastAsia="es-ES_tradnl"/>
              </w:rPr>
              <w:t>138</w:t>
            </w:r>
          </w:p>
        </w:tc>
        <w:tc>
          <w:tcPr>
            <w:tcW w:w="2126" w:type="dxa"/>
            <w:noWrap/>
            <w:hideMark/>
          </w:tcPr>
          <w:p w14:paraId="233BB0AD" w14:textId="77777777" w:rsidR="000E01FC" w:rsidRPr="00724C75"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bCs/>
                <w:color w:val="000000"/>
                <w:sz w:val="18"/>
                <w:szCs w:val="18"/>
                <w:lang w:val="es-ES_tradnl" w:eastAsia="es-ES_tradnl"/>
              </w:rPr>
            </w:pPr>
            <w:r w:rsidRPr="00724C75">
              <w:rPr>
                <w:rFonts w:ascii="Avenir LT Std 35 Light" w:eastAsia="Sabon MT Std" w:hAnsi="Avenir LT Std 35 Light" w:cs="Sabon MT Std"/>
                <w:bCs/>
                <w:color w:val="000000"/>
                <w:sz w:val="18"/>
                <w:szCs w:val="18"/>
                <w:lang w:val="es-ES_tradnl" w:eastAsia="es-ES_tradnl"/>
              </w:rPr>
              <w:t>17</w:t>
            </w:r>
          </w:p>
        </w:tc>
        <w:tc>
          <w:tcPr>
            <w:tcW w:w="992" w:type="dxa"/>
            <w:noWrap/>
            <w:hideMark/>
          </w:tcPr>
          <w:p w14:paraId="43F5981E" w14:textId="77777777" w:rsidR="000E01FC" w:rsidRPr="00724C75" w:rsidRDefault="000E01FC" w:rsidP="00A974D0">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bCs/>
                <w:color w:val="000000"/>
                <w:sz w:val="18"/>
                <w:szCs w:val="18"/>
                <w:lang w:val="es-ES_tradnl" w:eastAsia="es-ES_tradnl"/>
              </w:rPr>
            </w:pPr>
            <w:r w:rsidRPr="00724C75">
              <w:rPr>
                <w:rFonts w:ascii="Avenir LT Std 35 Light" w:eastAsia="Sabon MT Std" w:hAnsi="Avenir LT Std 35 Light" w:cs="Sabon MT Std"/>
                <w:bCs/>
                <w:color w:val="000000"/>
                <w:sz w:val="18"/>
                <w:szCs w:val="18"/>
                <w:lang w:val="es-ES_tradnl" w:eastAsia="es-ES_tradnl"/>
              </w:rPr>
              <w:t>12,32%</w:t>
            </w:r>
          </w:p>
        </w:tc>
      </w:tr>
    </w:tbl>
    <w:p w14:paraId="0C2C478C" w14:textId="744A0B89" w:rsidR="00020FD6" w:rsidRDefault="004D17C9" w:rsidP="004D17C9">
      <w:pPr>
        <w:spacing w:line="360" w:lineRule="auto"/>
        <w:rPr>
          <w:rFonts w:eastAsia="TimesNewRomanPSMT"/>
          <w:bCs/>
          <w:iCs/>
          <w:sz w:val="20"/>
          <w:szCs w:val="20"/>
          <w:lang w:eastAsia="es-ES_tradnl"/>
        </w:rPr>
      </w:pPr>
      <w:r w:rsidRPr="00686EEA">
        <w:rPr>
          <w:rFonts w:eastAsia="TimesNewRomanPSMT"/>
          <w:b/>
          <w:iCs/>
          <w:sz w:val="20"/>
          <w:szCs w:val="20"/>
          <w:lang w:eastAsia="es-ES_tradnl"/>
        </w:rPr>
        <w:t>Fuente:</w:t>
      </w:r>
      <w:r>
        <w:rPr>
          <w:rFonts w:eastAsia="TimesNewRomanPSMT"/>
          <w:b/>
          <w:iCs/>
          <w:sz w:val="20"/>
          <w:szCs w:val="20"/>
          <w:lang w:eastAsia="es-ES_tradnl"/>
        </w:rPr>
        <w:t xml:space="preserve"> </w:t>
      </w:r>
      <w:r>
        <w:rPr>
          <w:rFonts w:eastAsia="TimesNewRomanPSMT"/>
          <w:bCs/>
          <w:iCs/>
          <w:sz w:val="20"/>
          <w:szCs w:val="20"/>
          <w:lang w:eastAsia="es-ES_tradnl"/>
        </w:rPr>
        <w:t>Elaboración propia.</w:t>
      </w:r>
    </w:p>
    <w:p w14:paraId="51BCBCE1" w14:textId="77777777" w:rsidR="004D17C9" w:rsidRPr="004D17C9" w:rsidRDefault="004D17C9" w:rsidP="004D17C9">
      <w:pPr>
        <w:spacing w:line="360" w:lineRule="auto"/>
        <w:rPr>
          <w:rFonts w:eastAsia="TimesNewRomanPSMT"/>
          <w:bCs/>
          <w:iCs/>
          <w:sz w:val="20"/>
          <w:szCs w:val="20"/>
          <w:lang w:eastAsia="es-ES_tradnl"/>
        </w:rPr>
      </w:pPr>
    </w:p>
    <w:p w14:paraId="34320C99" w14:textId="5C35C3D6" w:rsidR="002E48E4" w:rsidRPr="002E48E4" w:rsidRDefault="000B5D3E" w:rsidP="00557A34">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rPr>
          <w:lang w:val="es-MX"/>
        </w:rPr>
      </w:pPr>
      <w:r>
        <w:rPr>
          <w:lang w:val="es-MX"/>
        </w:rPr>
        <w:tab/>
      </w:r>
      <w:r w:rsidR="000C618C">
        <w:rPr>
          <w:lang w:val="es-MX"/>
        </w:rPr>
        <w:t xml:space="preserve">A nivel internacional, como se evidencia en la Tabla </w:t>
      </w:r>
      <w:r w:rsidR="00817EAD">
        <w:rPr>
          <w:lang w:val="es-MX"/>
        </w:rPr>
        <w:t>2</w:t>
      </w:r>
      <w:r w:rsidR="000C618C">
        <w:rPr>
          <w:lang w:val="es-MX"/>
        </w:rPr>
        <w:t xml:space="preserve">, la Universidad de Wisconsin es la institución que mayor número de créditos libres </w:t>
      </w:r>
      <w:r w:rsidR="00922E75">
        <w:rPr>
          <w:lang w:val="es-MX"/>
        </w:rPr>
        <w:t>de profundización profesional ofrece</w:t>
      </w:r>
      <w:r w:rsidR="000C618C">
        <w:rPr>
          <w:lang w:val="es-MX"/>
        </w:rPr>
        <w:t xml:space="preserve"> con un 19,83%, seguida de la Universidad de Columbia y la Universidad de Florida con un 19,29% y 19,20% respectivamente. En el caso de la University of Groningen de 170 créditos que oferta, se encontró que no ofrece </w:t>
      </w:r>
      <w:r w:rsidR="00AD34D8">
        <w:rPr>
          <w:lang w:val="es-MX"/>
        </w:rPr>
        <w:t>electivas</w:t>
      </w:r>
      <w:r w:rsidR="000C618C">
        <w:rPr>
          <w:lang w:val="es-MX"/>
        </w:rPr>
        <w:t xml:space="preserve">, </w:t>
      </w:r>
      <w:r w:rsidR="00AD34D8">
        <w:rPr>
          <w:lang w:val="es-MX"/>
        </w:rPr>
        <w:lastRenderedPageBreak/>
        <w:t>sin embargo,</w:t>
      </w:r>
      <w:r w:rsidR="000C618C">
        <w:rPr>
          <w:lang w:val="es-MX"/>
        </w:rPr>
        <w:t xml:space="preserve"> dicha universidad</w:t>
      </w:r>
      <w:r w:rsidR="00CD4559">
        <w:rPr>
          <w:lang w:val="es-MX"/>
        </w:rPr>
        <w:t xml:space="preserve"> </w:t>
      </w:r>
      <w:r w:rsidR="000C618C">
        <w:rPr>
          <w:lang w:val="es-MX"/>
        </w:rPr>
        <w:t>ofrece 2 planes de estudio con enfoques diferentes: Ingeniería de procesos sostenible y Tecnología de Producción y Logística (175 créditos c/u)</w:t>
      </w:r>
      <w:r w:rsidR="00AD34D8">
        <w:rPr>
          <w:lang w:val="es-MX"/>
        </w:rPr>
        <w:t>.</w:t>
      </w:r>
      <w:r w:rsidR="00935CC6">
        <w:rPr>
          <w:lang w:val="es-MX"/>
        </w:rPr>
        <w:t xml:space="preserve"> </w:t>
      </w:r>
    </w:p>
    <w:p w14:paraId="6CA43EBC" w14:textId="1E66591C" w:rsidR="00C86D55" w:rsidRPr="00AF2D07" w:rsidRDefault="00C86D55" w:rsidP="00AF2D07">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jc w:val="both"/>
        <w:rPr>
          <w:rFonts w:ascii="TimesNewRomanPSMT" w:eastAsia="TimesNewRomanPSMT" w:hAnsi="TimesNewRomanPSMT" w:cs="TimesNewRomanPSMT"/>
          <w:b/>
          <w:lang w:eastAsia="es-ES_tradnl"/>
        </w:rPr>
      </w:pPr>
      <w:r w:rsidRPr="00AF2D07">
        <w:rPr>
          <w:rFonts w:ascii="TimesNewRomanPSMT" w:eastAsia="TimesNewRomanPSMT" w:hAnsi="TimesNewRomanPSMT" w:cs="TimesNewRomanPSMT"/>
          <w:b/>
          <w:lang w:eastAsia="es-ES_tradnl"/>
        </w:rPr>
        <w:t xml:space="preserve">Tabla </w:t>
      </w:r>
      <w:r w:rsidR="00C54776" w:rsidRPr="00AF2D07">
        <w:rPr>
          <w:rFonts w:ascii="TimesNewRomanPSMT" w:eastAsia="TimesNewRomanPSMT" w:hAnsi="TimesNewRomanPSMT" w:cs="TimesNewRomanPSMT"/>
          <w:b/>
          <w:lang w:eastAsia="es-ES_tradnl"/>
        </w:rPr>
        <w:t>2</w:t>
      </w:r>
      <w:r w:rsidRPr="00AF2D07">
        <w:rPr>
          <w:rFonts w:ascii="TimesNewRomanPSMT" w:eastAsia="TimesNewRomanPSMT" w:hAnsi="TimesNewRomanPSMT" w:cs="TimesNewRomanPSMT"/>
          <w:b/>
          <w:lang w:eastAsia="es-ES_tradnl"/>
        </w:rPr>
        <w:t>.</w:t>
      </w:r>
    </w:p>
    <w:p w14:paraId="7407B066" w14:textId="77777777" w:rsidR="00C86D55" w:rsidRPr="00AF2D07" w:rsidRDefault="00C86D55" w:rsidP="00AF2D07">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jc w:val="both"/>
        <w:rPr>
          <w:rFonts w:ascii="TimesNewRomanPSMT" w:eastAsia="TimesNewRomanPSMT" w:hAnsi="TimesNewRomanPSMT" w:cs="TimesNewRomanPSMT"/>
          <w:bCs/>
          <w:i/>
          <w:iCs/>
          <w:lang w:eastAsia="es-ES_tradnl"/>
        </w:rPr>
      </w:pPr>
      <w:r w:rsidRPr="00AF2D07">
        <w:rPr>
          <w:rFonts w:ascii="TimesNewRomanPSMT" w:eastAsia="TimesNewRomanPSMT" w:hAnsi="TimesNewRomanPSMT" w:cs="TimesNewRomanPSMT"/>
          <w:bCs/>
          <w:i/>
          <w:iCs/>
          <w:lang w:eastAsia="es-ES_tradnl"/>
        </w:rPr>
        <w:t>Electivas profesionales cursadas en las universidades internacionales</w:t>
      </w:r>
    </w:p>
    <w:tbl>
      <w:tblPr>
        <w:tblStyle w:val="Tablanormal2"/>
        <w:tblW w:w="9067" w:type="dxa"/>
        <w:tblLook w:val="06A0" w:firstRow="1" w:lastRow="0" w:firstColumn="1" w:lastColumn="0" w:noHBand="1" w:noVBand="1"/>
      </w:tblPr>
      <w:tblGrid>
        <w:gridCol w:w="4871"/>
        <w:gridCol w:w="1168"/>
        <w:gridCol w:w="2036"/>
        <w:gridCol w:w="992"/>
      </w:tblGrid>
      <w:tr w:rsidR="00C86D55" w:rsidRPr="00CC30B2" w14:paraId="61500BB2" w14:textId="77777777" w:rsidTr="00C13918">
        <w:trPr>
          <w:cnfStyle w:val="100000000000" w:firstRow="1" w:lastRow="0" w:firstColumn="0" w:lastColumn="0" w:oddVBand="0" w:evenVBand="0" w:oddHBand="0" w:evenHBand="0" w:firstRowFirstColumn="0" w:firstRowLastColumn="0" w:lastRowFirstColumn="0" w:lastRowLastColumn="0"/>
          <w:trHeight w:val="539"/>
        </w:trPr>
        <w:tc>
          <w:tcPr>
            <w:cnfStyle w:val="001000000000" w:firstRow="0" w:lastRow="0" w:firstColumn="1" w:lastColumn="0" w:oddVBand="0" w:evenVBand="0" w:oddHBand="0" w:evenHBand="0" w:firstRowFirstColumn="0" w:firstRowLastColumn="0" w:lastRowFirstColumn="0" w:lastRowLastColumn="0"/>
            <w:tcW w:w="4871" w:type="dxa"/>
            <w:hideMark/>
          </w:tcPr>
          <w:p w14:paraId="66072DDE" w14:textId="77777777" w:rsidR="00C86D55" w:rsidRPr="00CC30B2"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20"/>
                <w:szCs w:val="18"/>
                <w:lang w:val="es-ES_tradnl" w:eastAsia="es-ES_tradnl"/>
              </w:rPr>
            </w:pPr>
            <w:r w:rsidRPr="00CC30B2">
              <w:rPr>
                <w:rFonts w:ascii="Avenir LT Std 35 Light" w:eastAsia="Sabon MT Std" w:hAnsi="Avenir LT Std 35 Light" w:cs="Sabon MT Std"/>
                <w:color w:val="000000"/>
                <w:sz w:val="20"/>
                <w:szCs w:val="18"/>
                <w:lang w:val="es-ES_tradnl" w:eastAsia="es-ES_tradnl"/>
              </w:rPr>
              <w:t>Universidad</w:t>
            </w:r>
          </w:p>
        </w:tc>
        <w:tc>
          <w:tcPr>
            <w:tcW w:w="1168" w:type="dxa"/>
            <w:hideMark/>
          </w:tcPr>
          <w:p w14:paraId="3C777E62" w14:textId="77777777" w:rsidR="00C86D55" w:rsidRPr="00CC30B2"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100000000000" w:firstRow="1" w:lastRow="0" w:firstColumn="0" w:lastColumn="0" w:oddVBand="0" w:evenVBand="0" w:oddHBand="0" w:evenHBand="0" w:firstRowFirstColumn="0" w:firstRowLastColumn="0" w:lastRowFirstColumn="0" w:lastRowLastColumn="0"/>
              <w:rPr>
                <w:rFonts w:ascii="Avenir LT Std 35 Light" w:eastAsia="Sabon MT Std" w:hAnsi="Avenir LT Std 35 Light" w:cs="Sabon MT Std"/>
                <w:color w:val="000000"/>
                <w:sz w:val="20"/>
                <w:szCs w:val="18"/>
                <w:lang w:val="es-ES_tradnl" w:eastAsia="es-ES_tradnl"/>
              </w:rPr>
            </w:pPr>
            <w:r w:rsidRPr="00CC30B2">
              <w:rPr>
                <w:rFonts w:ascii="Avenir LT Std 35 Light" w:eastAsia="Sabon MT Std" w:hAnsi="Avenir LT Std 35 Light" w:cs="Sabon MT Std"/>
                <w:color w:val="000000"/>
                <w:sz w:val="20"/>
                <w:szCs w:val="18"/>
                <w:lang w:val="es-ES_tradnl" w:eastAsia="es-ES_tradnl"/>
              </w:rPr>
              <w:t>Créditos totales</w:t>
            </w:r>
          </w:p>
        </w:tc>
        <w:tc>
          <w:tcPr>
            <w:tcW w:w="2036" w:type="dxa"/>
            <w:hideMark/>
          </w:tcPr>
          <w:p w14:paraId="4F383C2F" w14:textId="77777777" w:rsidR="00C86D55" w:rsidRPr="00CC30B2"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100000000000" w:firstRow="1" w:lastRow="0" w:firstColumn="0" w:lastColumn="0" w:oddVBand="0" w:evenVBand="0" w:oddHBand="0" w:evenHBand="0" w:firstRowFirstColumn="0" w:firstRowLastColumn="0" w:lastRowFirstColumn="0" w:lastRowLastColumn="0"/>
              <w:rPr>
                <w:rFonts w:ascii="Avenir LT Std 35 Light" w:eastAsia="Sabon MT Std" w:hAnsi="Avenir LT Std 35 Light" w:cs="Sabon MT Std"/>
                <w:color w:val="000000"/>
                <w:sz w:val="20"/>
                <w:szCs w:val="18"/>
                <w:lang w:val="es-ES_tradnl" w:eastAsia="es-ES_tradnl"/>
              </w:rPr>
            </w:pPr>
            <w:r w:rsidRPr="00CC30B2">
              <w:rPr>
                <w:rFonts w:ascii="Avenir LT Std 35 Light" w:eastAsia="Sabon MT Std" w:hAnsi="Avenir LT Std 35 Light" w:cs="Sabon MT Std"/>
                <w:color w:val="000000"/>
                <w:sz w:val="20"/>
                <w:szCs w:val="18"/>
                <w:lang w:val="es-ES_tradnl" w:eastAsia="es-ES_tradnl"/>
              </w:rPr>
              <w:t>Créditos Electivas profesionales</w:t>
            </w:r>
          </w:p>
        </w:tc>
        <w:tc>
          <w:tcPr>
            <w:tcW w:w="992" w:type="dxa"/>
            <w:hideMark/>
          </w:tcPr>
          <w:p w14:paraId="3B69B4F6" w14:textId="77777777" w:rsidR="00C86D55" w:rsidRPr="00CC30B2"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100000000000" w:firstRow="1" w:lastRow="0" w:firstColumn="0" w:lastColumn="0" w:oddVBand="0" w:evenVBand="0" w:oddHBand="0" w:evenHBand="0" w:firstRowFirstColumn="0" w:firstRowLastColumn="0" w:lastRowFirstColumn="0" w:lastRowLastColumn="0"/>
              <w:rPr>
                <w:rFonts w:ascii="Avenir LT Std 35 Light" w:eastAsia="Sabon MT Std" w:hAnsi="Avenir LT Std 35 Light" w:cs="Sabon MT Std"/>
                <w:color w:val="000000"/>
                <w:sz w:val="20"/>
                <w:szCs w:val="18"/>
                <w:lang w:val="es-ES_tradnl" w:eastAsia="es-ES_tradnl"/>
              </w:rPr>
            </w:pPr>
            <w:r w:rsidRPr="00CC30B2">
              <w:rPr>
                <w:rFonts w:ascii="Avenir LT Std 35 Light" w:eastAsia="Sabon MT Std" w:hAnsi="Avenir LT Std 35 Light" w:cs="Sabon MT Std"/>
                <w:color w:val="000000"/>
                <w:sz w:val="20"/>
                <w:szCs w:val="18"/>
                <w:lang w:val="es-ES_tradnl" w:eastAsia="es-ES_tradnl"/>
              </w:rPr>
              <w:t>%</w:t>
            </w:r>
          </w:p>
        </w:tc>
      </w:tr>
      <w:tr w:rsidR="00C86D55" w:rsidRPr="00CC30B2" w14:paraId="30D5F770" w14:textId="77777777" w:rsidTr="00C13918">
        <w:trPr>
          <w:trHeight w:val="315"/>
        </w:trPr>
        <w:tc>
          <w:tcPr>
            <w:cnfStyle w:val="001000000000" w:firstRow="0" w:lastRow="0" w:firstColumn="1" w:lastColumn="0" w:oddVBand="0" w:evenVBand="0" w:oddHBand="0" w:evenHBand="0" w:firstRowFirstColumn="0" w:firstRowLastColumn="0" w:lastRowFirstColumn="0" w:lastRowLastColumn="0"/>
            <w:tcW w:w="4871" w:type="dxa"/>
            <w:noWrap/>
            <w:hideMark/>
          </w:tcPr>
          <w:p w14:paraId="56DD8CB2" w14:textId="77777777" w:rsidR="00C86D55" w:rsidRPr="00724C75"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b w:val="0"/>
                <w:bCs w:val="0"/>
                <w:color w:val="000000"/>
                <w:sz w:val="18"/>
                <w:szCs w:val="18"/>
                <w:lang w:val="es-ES_tradnl" w:eastAsia="es-ES_tradnl"/>
              </w:rPr>
            </w:pPr>
            <w:r w:rsidRPr="00724C75">
              <w:rPr>
                <w:rFonts w:ascii="Avenir LT Std 35 Light" w:eastAsia="Sabon MT Std" w:hAnsi="Avenir LT Std 35 Light" w:cs="Sabon MT Std"/>
                <w:b w:val="0"/>
                <w:bCs w:val="0"/>
                <w:color w:val="000000"/>
                <w:sz w:val="18"/>
                <w:szCs w:val="18"/>
                <w:lang w:val="es-ES_tradnl" w:eastAsia="es-ES_tradnl"/>
              </w:rPr>
              <w:t>University of Wisconsin</w:t>
            </w:r>
          </w:p>
        </w:tc>
        <w:tc>
          <w:tcPr>
            <w:tcW w:w="1168" w:type="dxa"/>
            <w:noWrap/>
            <w:hideMark/>
          </w:tcPr>
          <w:p w14:paraId="0C6B6B20" w14:textId="77777777" w:rsidR="00C86D55" w:rsidRPr="00724C75"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121</w:t>
            </w:r>
          </w:p>
        </w:tc>
        <w:tc>
          <w:tcPr>
            <w:tcW w:w="2036" w:type="dxa"/>
            <w:noWrap/>
            <w:hideMark/>
          </w:tcPr>
          <w:p w14:paraId="0FF951AA" w14:textId="77777777" w:rsidR="00C86D55" w:rsidRPr="00724C75"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24</w:t>
            </w:r>
          </w:p>
        </w:tc>
        <w:tc>
          <w:tcPr>
            <w:tcW w:w="992" w:type="dxa"/>
            <w:noWrap/>
            <w:hideMark/>
          </w:tcPr>
          <w:p w14:paraId="6ABEB295" w14:textId="77777777" w:rsidR="00C86D55" w:rsidRPr="00724C75"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19,83%</w:t>
            </w:r>
          </w:p>
        </w:tc>
      </w:tr>
      <w:tr w:rsidR="00C86D55" w:rsidRPr="00CC30B2" w14:paraId="2844CA4E" w14:textId="77777777" w:rsidTr="00C13918">
        <w:trPr>
          <w:trHeight w:val="300"/>
        </w:trPr>
        <w:tc>
          <w:tcPr>
            <w:cnfStyle w:val="001000000000" w:firstRow="0" w:lastRow="0" w:firstColumn="1" w:lastColumn="0" w:oddVBand="0" w:evenVBand="0" w:oddHBand="0" w:evenHBand="0" w:firstRowFirstColumn="0" w:firstRowLastColumn="0" w:lastRowFirstColumn="0" w:lastRowLastColumn="0"/>
            <w:tcW w:w="4871" w:type="dxa"/>
            <w:noWrap/>
            <w:hideMark/>
          </w:tcPr>
          <w:p w14:paraId="1B826074" w14:textId="77777777" w:rsidR="00C86D55" w:rsidRPr="00724C75"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b w:val="0"/>
                <w:bCs w:val="0"/>
                <w:color w:val="000000"/>
                <w:sz w:val="18"/>
                <w:szCs w:val="18"/>
                <w:lang w:val="es-ES_tradnl" w:eastAsia="es-ES_tradnl"/>
              </w:rPr>
            </w:pPr>
            <w:r w:rsidRPr="00724C75">
              <w:rPr>
                <w:rFonts w:ascii="Avenir LT Std 35 Light" w:eastAsia="Sabon MT Std" w:hAnsi="Avenir LT Std 35 Light" w:cs="Sabon MT Std"/>
                <w:b w:val="0"/>
                <w:bCs w:val="0"/>
                <w:color w:val="000000"/>
                <w:sz w:val="18"/>
                <w:szCs w:val="18"/>
                <w:lang w:val="es-ES_tradnl" w:eastAsia="es-ES_tradnl"/>
              </w:rPr>
              <w:t>Columbia University</w:t>
            </w:r>
          </w:p>
        </w:tc>
        <w:tc>
          <w:tcPr>
            <w:tcW w:w="1168" w:type="dxa"/>
            <w:noWrap/>
            <w:hideMark/>
          </w:tcPr>
          <w:p w14:paraId="73BAF0AB" w14:textId="77777777" w:rsidR="00C86D55" w:rsidRPr="00724C75"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140</w:t>
            </w:r>
          </w:p>
        </w:tc>
        <w:tc>
          <w:tcPr>
            <w:tcW w:w="2036" w:type="dxa"/>
            <w:noWrap/>
            <w:hideMark/>
          </w:tcPr>
          <w:p w14:paraId="65AFC89B" w14:textId="77777777" w:rsidR="00C86D55" w:rsidRPr="00724C75"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27</w:t>
            </w:r>
          </w:p>
        </w:tc>
        <w:tc>
          <w:tcPr>
            <w:tcW w:w="992" w:type="dxa"/>
            <w:noWrap/>
            <w:hideMark/>
          </w:tcPr>
          <w:p w14:paraId="23AFBF26" w14:textId="77777777" w:rsidR="00C86D55" w:rsidRPr="00724C75"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19,29%</w:t>
            </w:r>
          </w:p>
        </w:tc>
      </w:tr>
      <w:tr w:rsidR="00C86D55" w:rsidRPr="00CC30B2" w14:paraId="33D74E23" w14:textId="77777777" w:rsidTr="00C13918">
        <w:trPr>
          <w:trHeight w:val="300"/>
        </w:trPr>
        <w:tc>
          <w:tcPr>
            <w:cnfStyle w:val="001000000000" w:firstRow="0" w:lastRow="0" w:firstColumn="1" w:lastColumn="0" w:oddVBand="0" w:evenVBand="0" w:oddHBand="0" w:evenHBand="0" w:firstRowFirstColumn="0" w:firstRowLastColumn="0" w:lastRowFirstColumn="0" w:lastRowLastColumn="0"/>
            <w:tcW w:w="4871" w:type="dxa"/>
            <w:noWrap/>
            <w:hideMark/>
          </w:tcPr>
          <w:p w14:paraId="7211E055" w14:textId="77777777" w:rsidR="00C86D55" w:rsidRPr="00724C75"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b w:val="0"/>
                <w:bCs w:val="0"/>
                <w:color w:val="000000"/>
                <w:sz w:val="18"/>
                <w:szCs w:val="18"/>
                <w:lang w:val="es-ES_tradnl" w:eastAsia="es-ES_tradnl"/>
              </w:rPr>
            </w:pPr>
            <w:r w:rsidRPr="00724C75">
              <w:rPr>
                <w:rFonts w:ascii="Avenir LT Std 35 Light" w:eastAsia="Sabon MT Std" w:hAnsi="Avenir LT Std 35 Light" w:cs="Sabon MT Std"/>
                <w:b w:val="0"/>
                <w:bCs w:val="0"/>
                <w:color w:val="000000"/>
                <w:sz w:val="18"/>
                <w:szCs w:val="18"/>
                <w:lang w:val="es-ES_tradnl" w:eastAsia="es-ES_tradnl"/>
              </w:rPr>
              <w:t>University of Florida</w:t>
            </w:r>
          </w:p>
        </w:tc>
        <w:tc>
          <w:tcPr>
            <w:tcW w:w="1168" w:type="dxa"/>
            <w:noWrap/>
            <w:hideMark/>
          </w:tcPr>
          <w:p w14:paraId="32D82074" w14:textId="77777777" w:rsidR="00C86D55" w:rsidRPr="00724C75"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125</w:t>
            </w:r>
          </w:p>
        </w:tc>
        <w:tc>
          <w:tcPr>
            <w:tcW w:w="2036" w:type="dxa"/>
            <w:noWrap/>
            <w:hideMark/>
          </w:tcPr>
          <w:p w14:paraId="2861DA7C" w14:textId="77777777" w:rsidR="00C86D55" w:rsidRPr="00724C75"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24</w:t>
            </w:r>
          </w:p>
        </w:tc>
        <w:tc>
          <w:tcPr>
            <w:tcW w:w="992" w:type="dxa"/>
            <w:noWrap/>
            <w:hideMark/>
          </w:tcPr>
          <w:p w14:paraId="4D078071" w14:textId="77777777" w:rsidR="00C86D55" w:rsidRPr="00724C75"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19,20%</w:t>
            </w:r>
          </w:p>
        </w:tc>
      </w:tr>
      <w:tr w:rsidR="00C86D55" w:rsidRPr="00CC30B2" w14:paraId="3025EB47" w14:textId="77777777" w:rsidTr="00C13918">
        <w:trPr>
          <w:trHeight w:val="300"/>
        </w:trPr>
        <w:tc>
          <w:tcPr>
            <w:cnfStyle w:val="001000000000" w:firstRow="0" w:lastRow="0" w:firstColumn="1" w:lastColumn="0" w:oddVBand="0" w:evenVBand="0" w:oddHBand="0" w:evenHBand="0" w:firstRowFirstColumn="0" w:firstRowLastColumn="0" w:lastRowFirstColumn="0" w:lastRowLastColumn="0"/>
            <w:tcW w:w="4871" w:type="dxa"/>
            <w:noWrap/>
            <w:hideMark/>
          </w:tcPr>
          <w:p w14:paraId="65DD5B72" w14:textId="77777777" w:rsidR="00C86D55" w:rsidRPr="00724C75"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b w:val="0"/>
                <w:bCs w:val="0"/>
                <w:color w:val="000000"/>
                <w:sz w:val="18"/>
                <w:szCs w:val="18"/>
                <w:lang w:val="es-ES_tradnl" w:eastAsia="es-ES_tradnl"/>
              </w:rPr>
            </w:pPr>
            <w:r w:rsidRPr="00724C75">
              <w:rPr>
                <w:rFonts w:ascii="Avenir LT Std 35 Light" w:eastAsia="Sabon MT Std" w:hAnsi="Avenir LT Std 35 Light" w:cs="Sabon MT Std"/>
                <w:b w:val="0"/>
                <w:bCs w:val="0"/>
                <w:color w:val="000000"/>
                <w:sz w:val="18"/>
                <w:szCs w:val="18"/>
                <w:lang w:val="es-ES_tradnl" w:eastAsia="es-ES_tradnl"/>
              </w:rPr>
              <w:t xml:space="preserve">University of </w:t>
            </w:r>
            <w:proofErr w:type="spellStart"/>
            <w:r w:rsidRPr="00724C75">
              <w:rPr>
                <w:rFonts w:ascii="Avenir LT Std 35 Light" w:eastAsia="Sabon MT Std" w:hAnsi="Avenir LT Std 35 Light" w:cs="Sabon MT Std"/>
                <w:b w:val="0"/>
                <w:bCs w:val="0"/>
                <w:color w:val="000000"/>
                <w:sz w:val="18"/>
                <w:szCs w:val="18"/>
                <w:lang w:val="es-ES_tradnl" w:eastAsia="es-ES_tradnl"/>
              </w:rPr>
              <w:t>Southern</w:t>
            </w:r>
            <w:proofErr w:type="spellEnd"/>
            <w:r w:rsidRPr="00724C75">
              <w:rPr>
                <w:rFonts w:ascii="Avenir LT Std 35 Light" w:eastAsia="Sabon MT Std" w:hAnsi="Avenir LT Std 35 Light" w:cs="Sabon MT Std"/>
                <w:b w:val="0"/>
                <w:bCs w:val="0"/>
                <w:color w:val="000000"/>
                <w:sz w:val="18"/>
                <w:szCs w:val="18"/>
                <w:lang w:val="es-ES_tradnl" w:eastAsia="es-ES_tradnl"/>
              </w:rPr>
              <w:t xml:space="preserve"> California</w:t>
            </w:r>
          </w:p>
        </w:tc>
        <w:tc>
          <w:tcPr>
            <w:tcW w:w="1168" w:type="dxa"/>
            <w:noWrap/>
            <w:hideMark/>
          </w:tcPr>
          <w:p w14:paraId="780A103C" w14:textId="77777777" w:rsidR="00C86D55" w:rsidRPr="00724C75"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142</w:t>
            </w:r>
          </w:p>
        </w:tc>
        <w:tc>
          <w:tcPr>
            <w:tcW w:w="2036" w:type="dxa"/>
            <w:noWrap/>
            <w:hideMark/>
          </w:tcPr>
          <w:p w14:paraId="351DB63F" w14:textId="77777777" w:rsidR="00C86D55" w:rsidRPr="00724C75"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25</w:t>
            </w:r>
          </w:p>
        </w:tc>
        <w:tc>
          <w:tcPr>
            <w:tcW w:w="992" w:type="dxa"/>
            <w:noWrap/>
            <w:hideMark/>
          </w:tcPr>
          <w:p w14:paraId="4FE570D1" w14:textId="77777777" w:rsidR="00C86D55" w:rsidRPr="00724C75"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17,61%</w:t>
            </w:r>
          </w:p>
        </w:tc>
      </w:tr>
      <w:tr w:rsidR="00C86D55" w:rsidRPr="00CC30B2" w14:paraId="6BB47317" w14:textId="77777777" w:rsidTr="00C13918">
        <w:trPr>
          <w:trHeight w:val="300"/>
        </w:trPr>
        <w:tc>
          <w:tcPr>
            <w:cnfStyle w:val="001000000000" w:firstRow="0" w:lastRow="0" w:firstColumn="1" w:lastColumn="0" w:oddVBand="0" w:evenVBand="0" w:oddHBand="0" w:evenHBand="0" w:firstRowFirstColumn="0" w:firstRowLastColumn="0" w:lastRowFirstColumn="0" w:lastRowLastColumn="0"/>
            <w:tcW w:w="4871" w:type="dxa"/>
            <w:noWrap/>
            <w:hideMark/>
          </w:tcPr>
          <w:p w14:paraId="39BFC51B" w14:textId="77777777" w:rsidR="00C86D55" w:rsidRPr="001820FC"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b w:val="0"/>
                <w:bCs w:val="0"/>
                <w:color w:val="000000"/>
                <w:sz w:val="18"/>
                <w:szCs w:val="18"/>
                <w:lang w:val="en-US" w:eastAsia="es-ES_tradnl"/>
              </w:rPr>
            </w:pPr>
            <w:r w:rsidRPr="001820FC">
              <w:rPr>
                <w:rFonts w:ascii="Avenir LT Std 35 Light" w:eastAsia="Sabon MT Std" w:hAnsi="Avenir LT Std 35 Light" w:cs="Sabon MT Std"/>
                <w:b w:val="0"/>
                <w:bCs w:val="0"/>
                <w:color w:val="000000"/>
                <w:sz w:val="18"/>
                <w:szCs w:val="18"/>
                <w:lang w:val="en-US" w:eastAsia="es-ES_tradnl"/>
              </w:rPr>
              <w:t>University of Michigan-Ann Arbor</w:t>
            </w:r>
          </w:p>
        </w:tc>
        <w:tc>
          <w:tcPr>
            <w:tcW w:w="1168" w:type="dxa"/>
            <w:noWrap/>
            <w:hideMark/>
          </w:tcPr>
          <w:p w14:paraId="0CF96D23" w14:textId="77777777" w:rsidR="00C86D55" w:rsidRPr="00724C75"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128</w:t>
            </w:r>
          </w:p>
        </w:tc>
        <w:tc>
          <w:tcPr>
            <w:tcW w:w="2036" w:type="dxa"/>
            <w:noWrap/>
            <w:hideMark/>
          </w:tcPr>
          <w:p w14:paraId="57DC8066" w14:textId="77777777" w:rsidR="00C86D55" w:rsidRPr="00724C75"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19</w:t>
            </w:r>
          </w:p>
        </w:tc>
        <w:tc>
          <w:tcPr>
            <w:tcW w:w="992" w:type="dxa"/>
            <w:noWrap/>
            <w:hideMark/>
          </w:tcPr>
          <w:p w14:paraId="4136BB19" w14:textId="77777777" w:rsidR="00C86D55" w:rsidRPr="00724C75" w:rsidRDefault="00C86D55" w:rsidP="00CC30B2">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cnfStyle w:val="000000000000" w:firstRow="0" w:lastRow="0" w:firstColumn="0" w:lastColumn="0" w:oddVBand="0" w:evenVBand="0" w:oddHBand="0" w:evenHBand="0" w:firstRowFirstColumn="0" w:firstRowLastColumn="0" w:lastRowFirstColumn="0" w:lastRowLastColumn="0"/>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14,84%</w:t>
            </w:r>
          </w:p>
        </w:tc>
      </w:tr>
    </w:tbl>
    <w:p w14:paraId="78D35450" w14:textId="36EC5220" w:rsidR="009E6CD4" w:rsidRDefault="004D17C9" w:rsidP="003B1CF6">
      <w:pPr>
        <w:spacing w:line="360" w:lineRule="auto"/>
        <w:rPr>
          <w:rFonts w:eastAsia="TimesNewRomanPSMT"/>
          <w:bCs/>
          <w:iCs/>
          <w:sz w:val="20"/>
          <w:szCs w:val="20"/>
          <w:lang w:eastAsia="es-ES_tradnl"/>
        </w:rPr>
      </w:pPr>
      <w:r w:rsidRPr="00686EEA">
        <w:rPr>
          <w:rFonts w:eastAsia="TimesNewRomanPSMT"/>
          <w:b/>
          <w:iCs/>
          <w:sz w:val="20"/>
          <w:szCs w:val="20"/>
          <w:lang w:eastAsia="es-ES_tradnl"/>
        </w:rPr>
        <w:t>Fuente:</w:t>
      </w:r>
      <w:r>
        <w:rPr>
          <w:rFonts w:eastAsia="TimesNewRomanPSMT"/>
          <w:b/>
          <w:iCs/>
          <w:sz w:val="20"/>
          <w:szCs w:val="20"/>
          <w:lang w:eastAsia="es-ES_tradnl"/>
        </w:rPr>
        <w:t xml:space="preserve"> </w:t>
      </w:r>
      <w:r>
        <w:rPr>
          <w:rFonts w:eastAsia="TimesNewRomanPSMT"/>
          <w:bCs/>
          <w:iCs/>
          <w:sz w:val="20"/>
          <w:szCs w:val="20"/>
          <w:lang w:eastAsia="es-ES_tradnl"/>
        </w:rPr>
        <w:t>Elaboración propia.</w:t>
      </w:r>
    </w:p>
    <w:p w14:paraId="231766A0" w14:textId="77777777" w:rsidR="003B1CF6" w:rsidRPr="003B1CF6" w:rsidRDefault="003B1CF6" w:rsidP="003B1CF6">
      <w:pPr>
        <w:spacing w:line="360" w:lineRule="auto"/>
        <w:rPr>
          <w:rFonts w:eastAsia="TimesNewRomanPSMT"/>
          <w:bCs/>
          <w:iCs/>
          <w:sz w:val="20"/>
          <w:szCs w:val="20"/>
          <w:lang w:eastAsia="es-ES_tradnl"/>
        </w:rPr>
      </w:pPr>
    </w:p>
    <w:p w14:paraId="40792C6B" w14:textId="6E9C2F66" w:rsidR="00307AC6" w:rsidRDefault="00931911" w:rsidP="00C4069A">
      <w:pPr>
        <w:spacing w:line="480" w:lineRule="auto"/>
        <w:rPr>
          <w:b/>
          <w:bCs/>
          <w:color w:val="000000"/>
          <w:lang w:eastAsia="es-CO"/>
        </w:rPr>
      </w:pPr>
      <w:r>
        <w:rPr>
          <w:b/>
          <w:bCs/>
          <w:color w:val="000000"/>
          <w:lang w:eastAsia="es-CO"/>
        </w:rPr>
        <w:t>Segundo idioma</w:t>
      </w:r>
    </w:p>
    <w:p w14:paraId="54A628DE" w14:textId="57ADA269" w:rsidR="00931911" w:rsidRDefault="008D7C69" w:rsidP="000B5D3E">
      <w:pPr>
        <w:spacing w:line="480" w:lineRule="auto"/>
        <w:ind w:firstLine="708"/>
        <w:rPr>
          <w:lang w:val="es-MX"/>
        </w:rPr>
      </w:pPr>
      <w:r>
        <w:rPr>
          <w:lang w:val="es-MX"/>
        </w:rPr>
        <w:t>De 22 universidades nacionales, solo 7 ofertan un segundo idioma</w:t>
      </w:r>
      <w:r w:rsidR="00935CC6">
        <w:rPr>
          <w:lang w:val="es-MX"/>
        </w:rPr>
        <w:t xml:space="preserve"> con obligatoriedad</w:t>
      </w:r>
      <w:r>
        <w:rPr>
          <w:lang w:val="es-MX"/>
        </w:rPr>
        <w:t>, generalmente inglés, en su plan de estudios. Dentro de estas se encuentran la Universidad de la Sabana (15 créditos), Universidad Nacional de Colombia (12 créditos), Universidad Antonio Nariño (9 créditos), Universidad de la Costa (9 créditos), Universidad Industrial de Santander (8 créditos), Universidad de Antioquia (6 créditos), y la Universidad Distrital Francisco José de Caldas (6 créditos).</w:t>
      </w:r>
      <w:r w:rsidR="00444946">
        <w:rPr>
          <w:lang w:val="es-MX"/>
        </w:rPr>
        <w:t xml:space="preserve"> La Universidad del Valle, oferta el inglés de manera extracurricular con un total de 10 créditos, </w:t>
      </w:r>
      <w:r w:rsidR="00F35F18">
        <w:rPr>
          <w:lang w:val="es-MX"/>
        </w:rPr>
        <w:t xml:space="preserve">y en </w:t>
      </w:r>
      <w:r w:rsidR="00051228">
        <w:rPr>
          <w:lang w:val="es-MX"/>
        </w:rPr>
        <w:t>la Pontificia Universidad Javeriana</w:t>
      </w:r>
      <w:r w:rsidR="00FD126F">
        <w:rPr>
          <w:lang w:val="es-MX"/>
        </w:rPr>
        <w:t>,</w:t>
      </w:r>
      <w:r w:rsidR="00051228">
        <w:rPr>
          <w:lang w:val="es-MX"/>
        </w:rPr>
        <w:t xml:space="preserve"> el Proyecto CDIO Año 4-1 visto en 7mo semestre, requiere un mínimo de inglés nivel B2.</w:t>
      </w:r>
    </w:p>
    <w:p w14:paraId="4752938C" w14:textId="6A4CDF6F" w:rsidR="000E4375" w:rsidRDefault="00A17BF7" w:rsidP="00AA7454">
      <w:pPr>
        <w:spacing w:line="480" w:lineRule="auto"/>
        <w:ind w:firstLine="708"/>
        <w:rPr>
          <w:lang w:val="es-MX"/>
        </w:rPr>
      </w:pPr>
      <w:r>
        <w:rPr>
          <w:lang w:val="es-MX"/>
        </w:rPr>
        <w:t xml:space="preserve">En universidades internacionales de habla no inglesa, no se encuentran créditos obligatorios de una segunda lengua, pero en la investigación se encuentra que, instituciones como la University of Groningen, aunque se encuentra localizada en Países bajos, el curso de Ingeniería Industrial se imparte en inglés. En otras instituciones </w:t>
      </w:r>
      <w:r>
        <w:rPr>
          <w:lang w:val="es-MX"/>
        </w:rPr>
        <w:lastRenderedPageBreak/>
        <w:t xml:space="preserve">como la Universidad de Buenos Aires, no hay créditos obligatorios dirigidos a un </w:t>
      </w:r>
      <w:r w:rsidRPr="008111A4">
        <w:rPr>
          <w:lang w:val="es-MX"/>
        </w:rPr>
        <w:t>segundo idioma,</w:t>
      </w:r>
      <w:r>
        <w:rPr>
          <w:lang w:val="es-MX"/>
        </w:rPr>
        <w:t xml:space="preserve"> pero sí se ofrecen cursos preparatorios no obligatorios a los estudiantes, con el fin de alcanzar como mínimo un nivel de inglés B2 en lecto comprensión. En la Universidad Nacional Autónoma de México tampoco se tienen cursos obligatorios de este idioma</w:t>
      </w:r>
      <w:r w:rsidR="00831D32">
        <w:rPr>
          <w:lang w:val="es-MX"/>
        </w:rPr>
        <w:t>.</w:t>
      </w:r>
    </w:p>
    <w:p w14:paraId="2224A587" w14:textId="77777777" w:rsidR="00AA7454" w:rsidRPr="00AA7454" w:rsidRDefault="00AA7454" w:rsidP="00AA7454">
      <w:pPr>
        <w:spacing w:line="480" w:lineRule="auto"/>
        <w:ind w:firstLine="708"/>
        <w:rPr>
          <w:lang w:val="es-MX"/>
        </w:rPr>
      </w:pPr>
    </w:p>
    <w:p w14:paraId="3911D712" w14:textId="53B6E488" w:rsidR="00931911" w:rsidRDefault="0014041F" w:rsidP="00C4069A">
      <w:pPr>
        <w:spacing w:line="480" w:lineRule="auto"/>
        <w:rPr>
          <w:b/>
          <w:bCs/>
          <w:color w:val="000000"/>
          <w:lang w:eastAsia="es-CO"/>
        </w:rPr>
      </w:pPr>
      <w:r w:rsidRPr="0014041F">
        <w:rPr>
          <w:b/>
          <w:bCs/>
          <w:color w:val="000000"/>
          <w:lang w:eastAsia="es-CO"/>
        </w:rPr>
        <w:t>Electivas no profesionales</w:t>
      </w:r>
    </w:p>
    <w:p w14:paraId="4BFFDC6C" w14:textId="331B7623" w:rsidR="00FA08A0" w:rsidRPr="008A5A03" w:rsidRDefault="006C4C80" w:rsidP="008A5A03">
      <w:pPr>
        <w:spacing w:line="480" w:lineRule="auto"/>
        <w:ind w:firstLine="708"/>
        <w:jc w:val="both"/>
        <w:rPr>
          <w:lang w:val="es-MX"/>
        </w:rPr>
      </w:pPr>
      <w:r>
        <w:rPr>
          <w:lang w:val="es-MX"/>
        </w:rPr>
        <w:t xml:space="preserve">En estas, se incluyen </w:t>
      </w:r>
      <w:r w:rsidR="007C5CB6">
        <w:rPr>
          <w:lang w:val="es-MX"/>
        </w:rPr>
        <w:t xml:space="preserve">créditos destinados a </w:t>
      </w:r>
      <w:r>
        <w:rPr>
          <w:lang w:val="es-MX"/>
        </w:rPr>
        <w:t xml:space="preserve">materias de contexto, humanidades, ciencias, entre otras, que la universidad permite al estudiante </w:t>
      </w:r>
      <w:r w:rsidR="007C5CB6">
        <w:rPr>
          <w:lang w:val="es-MX"/>
        </w:rPr>
        <w:t xml:space="preserve">elegir libremente </w:t>
      </w:r>
      <w:r>
        <w:rPr>
          <w:lang w:val="es-MX"/>
        </w:rPr>
        <w:t>en campos de otras facultades, que no precisan el</w:t>
      </w:r>
      <w:r w:rsidR="00C47147">
        <w:rPr>
          <w:lang w:val="es-MX"/>
        </w:rPr>
        <w:t xml:space="preserve"> </w:t>
      </w:r>
      <w:r>
        <w:rPr>
          <w:lang w:val="es-MX"/>
        </w:rPr>
        <w:t>de la Ingeniería Industrial.</w:t>
      </w:r>
      <w:r w:rsidR="00587002">
        <w:rPr>
          <w:lang w:val="es-MX"/>
        </w:rPr>
        <w:t xml:space="preserve"> </w:t>
      </w:r>
      <w:r w:rsidR="00C47147">
        <w:rPr>
          <w:lang w:val="es-MX"/>
        </w:rPr>
        <w:t xml:space="preserve">Con esto, se </w:t>
      </w:r>
      <w:r w:rsidR="007C5CB6">
        <w:rPr>
          <w:lang w:val="es-MX"/>
        </w:rPr>
        <w:t xml:space="preserve">buscó </w:t>
      </w:r>
      <w:r w:rsidR="00C47147">
        <w:rPr>
          <w:lang w:val="es-MX"/>
        </w:rPr>
        <w:t>analiz</w:t>
      </w:r>
      <w:r w:rsidR="007C5CB6">
        <w:rPr>
          <w:lang w:val="es-MX"/>
        </w:rPr>
        <w:t>ar</w:t>
      </w:r>
      <w:r w:rsidR="00C47147">
        <w:rPr>
          <w:lang w:val="es-MX"/>
        </w:rPr>
        <w:t xml:space="preserve"> el nivel de interdisciplinariedad que tienen las universidades, es decir, que tanto se les permite a sus estudiantes tomar materias de otros programas académicos.</w:t>
      </w:r>
    </w:p>
    <w:p w14:paraId="7F387F9F" w14:textId="3481E816" w:rsidR="002B2ED1" w:rsidRPr="00011646" w:rsidRDefault="00FA08A0" w:rsidP="00011646">
      <w:pPr>
        <w:spacing w:line="480" w:lineRule="auto"/>
        <w:rPr>
          <w:color w:val="000000"/>
          <w:lang w:eastAsia="es-CO"/>
        </w:rPr>
      </w:pPr>
      <w:r>
        <w:rPr>
          <w:color w:val="000000"/>
          <w:lang w:eastAsia="es-CO"/>
        </w:rPr>
        <w:t>Para dicha variable,</w:t>
      </w:r>
      <w:r w:rsidR="00CA5546">
        <w:rPr>
          <w:color w:val="000000"/>
          <w:lang w:eastAsia="es-CO"/>
        </w:rPr>
        <w:t xml:space="preserve"> </w:t>
      </w:r>
      <w:r w:rsidR="00FD126F">
        <w:rPr>
          <w:color w:val="000000"/>
          <w:lang w:eastAsia="es-CO"/>
        </w:rPr>
        <w:t xml:space="preserve">en la Tabla 3 </w:t>
      </w:r>
      <w:r w:rsidR="005D23C7">
        <w:rPr>
          <w:color w:val="000000"/>
          <w:lang w:eastAsia="es-CO"/>
        </w:rPr>
        <w:t xml:space="preserve">se observan </w:t>
      </w:r>
      <w:r w:rsidR="00CA5546">
        <w:rPr>
          <w:color w:val="000000"/>
          <w:lang w:eastAsia="es-CO"/>
        </w:rPr>
        <w:t xml:space="preserve">las 5 universidades </w:t>
      </w:r>
      <w:r w:rsidR="00FD126F">
        <w:rPr>
          <w:color w:val="000000"/>
          <w:lang w:eastAsia="es-CO"/>
        </w:rPr>
        <w:t xml:space="preserve">nacionales </w:t>
      </w:r>
      <w:r w:rsidR="00CA5546">
        <w:rPr>
          <w:color w:val="000000"/>
          <w:lang w:eastAsia="es-CO"/>
        </w:rPr>
        <w:t>con mayor interdisciplinariedad</w:t>
      </w:r>
      <w:r w:rsidR="00833CFB">
        <w:rPr>
          <w:color w:val="000000"/>
          <w:lang w:eastAsia="es-CO"/>
        </w:rPr>
        <w:t>, donde se tiene a la Universidad del Norte en primer lugar</w:t>
      </w:r>
      <w:r w:rsidR="00872B62">
        <w:rPr>
          <w:color w:val="000000"/>
          <w:lang w:eastAsia="es-CO"/>
        </w:rPr>
        <w:t xml:space="preserve"> con un 15,5%</w:t>
      </w:r>
      <w:r w:rsidR="005D23C7">
        <w:rPr>
          <w:color w:val="000000"/>
          <w:lang w:eastAsia="es-CO"/>
        </w:rPr>
        <w:t xml:space="preserve">, seguida de cerca por la Universidad del Rosario con un 15,4%. </w:t>
      </w:r>
    </w:p>
    <w:p w14:paraId="391E2FF0" w14:textId="61290F30" w:rsidR="00940418" w:rsidRPr="00AF2D07" w:rsidRDefault="00940418" w:rsidP="00AF2D07">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jc w:val="both"/>
        <w:rPr>
          <w:rFonts w:ascii="TimesNewRomanPSMT" w:eastAsia="TimesNewRomanPSMT" w:hAnsi="TimesNewRomanPSMT" w:cs="TimesNewRomanPSMT"/>
          <w:b/>
          <w:lang w:eastAsia="es-ES_tradnl"/>
        </w:rPr>
      </w:pPr>
      <w:r w:rsidRPr="00AF2D07">
        <w:rPr>
          <w:rFonts w:ascii="TimesNewRomanPSMT" w:eastAsia="TimesNewRomanPSMT" w:hAnsi="TimesNewRomanPSMT" w:cs="TimesNewRomanPSMT"/>
          <w:b/>
          <w:lang w:eastAsia="es-ES_tradnl"/>
        </w:rPr>
        <w:t>Tabla 3.</w:t>
      </w:r>
    </w:p>
    <w:p w14:paraId="5621DCAF" w14:textId="77777777" w:rsidR="00940418" w:rsidRPr="00AF2D07" w:rsidRDefault="00940418" w:rsidP="00AF2D07">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jc w:val="both"/>
        <w:rPr>
          <w:rFonts w:ascii="TimesNewRomanPSMT" w:eastAsia="TimesNewRomanPSMT" w:hAnsi="TimesNewRomanPSMT" w:cs="TimesNewRomanPSMT"/>
          <w:bCs/>
          <w:i/>
          <w:iCs/>
          <w:lang w:eastAsia="es-ES_tradnl"/>
        </w:rPr>
      </w:pPr>
      <w:r w:rsidRPr="00AF2D07">
        <w:rPr>
          <w:rFonts w:ascii="TimesNewRomanPSMT" w:eastAsia="TimesNewRomanPSMT" w:hAnsi="TimesNewRomanPSMT" w:cs="TimesNewRomanPSMT"/>
          <w:bCs/>
          <w:i/>
          <w:iCs/>
          <w:lang w:eastAsia="es-ES_tradnl"/>
        </w:rPr>
        <w:t>Electivas no profesionales cursadas en las universidades nacionales.</w:t>
      </w:r>
    </w:p>
    <w:tbl>
      <w:tblPr>
        <w:tblStyle w:val="Tablanormal2"/>
        <w:tblW w:w="8075" w:type="dxa"/>
        <w:tblLayout w:type="fixed"/>
        <w:tblLook w:val="0620" w:firstRow="1" w:lastRow="0" w:firstColumn="0" w:lastColumn="0" w:noHBand="1" w:noVBand="1"/>
      </w:tblPr>
      <w:tblGrid>
        <w:gridCol w:w="4706"/>
        <w:gridCol w:w="2093"/>
        <w:gridCol w:w="1276"/>
      </w:tblGrid>
      <w:tr w:rsidR="00940418" w:rsidRPr="00E606D0" w14:paraId="2E1E88B0" w14:textId="77777777" w:rsidTr="00FC03D7">
        <w:trPr>
          <w:cnfStyle w:val="100000000000" w:firstRow="1" w:lastRow="0" w:firstColumn="0" w:lastColumn="0" w:oddVBand="0" w:evenVBand="0" w:oddHBand="0" w:evenHBand="0" w:firstRowFirstColumn="0" w:firstRowLastColumn="0" w:lastRowFirstColumn="0" w:lastRowLastColumn="0"/>
          <w:trHeight w:val="702"/>
        </w:trPr>
        <w:tc>
          <w:tcPr>
            <w:tcW w:w="4706" w:type="dxa"/>
            <w:noWrap/>
            <w:hideMark/>
          </w:tcPr>
          <w:p w14:paraId="090E3817" w14:textId="77777777" w:rsidR="00940418" w:rsidRPr="00FC03D7" w:rsidRDefault="00940418" w:rsidP="00FC03D7">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20"/>
                <w:szCs w:val="18"/>
                <w:lang w:val="es-ES_tradnl" w:eastAsia="es-ES_tradnl"/>
              </w:rPr>
            </w:pPr>
          </w:p>
          <w:p w14:paraId="018A73F2" w14:textId="77777777" w:rsidR="00940418" w:rsidRPr="00FC03D7" w:rsidRDefault="00940418" w:rsidP="00FC03D7">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20"/>
                <w:szCs w:val="18"/>
                <w:lang w:val="es-ES_tradnl" w:eastAsia="es-ES_tradnl"/>
              </w:rPr>
            </w:pPr>
            <w:r w:rsidRPr="00FC03D7">
              <w:rPr>
                <w:rFonts w:ascii="Avenir LT Std 35 Light" w:eastAsia="Sabon MT Std" w:hAnsi="Avenir LT Std 35 Light" w:cs="Sabon MT Std"/>
                <w:color w:val="000000"/>
                <w:sz w:val="20"/>
                <w:szCs w:val="18"/>
                <w:lang w:val="es-ES_tradnl" w:eastAsia="es-ES_tradnl"/>
              </w:rPr>
              <w:t>Universidad</w:t>
            </w:r>
          </w:p>
        </w:tc>
        <w:tc>
          <w:tcPr>
            <w:tcW w:w="2093" w:type="dxa"/>
            <w:hideMark/>
          </w:tcPr>
          <w:p w14:paraId="378EB71F" w14:textId="77777777" w:rsidR="00940418" w:rsidRPr="00FC03D7" w:rsidRDefault="00940418" w:rsidP="00FC03D7">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20"/>
                <w:szCs w:val="18"/>
                <w:lang w:val="es-ES_tradnl" w:eastAsia="es-ES_tradnl"/>
              </w:rPr>
            </w:pPr>
            <w:r w:rsidRPr="00FC03D7">
              <w:rPr>
                <w:rFonts w:ascii="Avenir LT Std 35 Light" w:eastAsia="Sabon MT Std" w:hAnsi="Avenir LT Std 35 Light" w:cs="Sabon MT Std"/>
                <w:color w:val="000000"/>
                <w:sz w:val="20"/>
                <w:szCs w:val="18"/>
                <w:lang w:val="es-ES_tradnl" w:eastAsia="es-ES_tradnl"/>
              </w:rPr>
              <w:t>Créditos Electivas no profesionales</w:t>
            </w:r>
          </w:p>
        </w:tc>
        <w:tc>
          <w:tcPr>
            <w:tcW w:w="1276" w:type="dxa"/>
            <w:noWrap/>
            <w:hideMark/>
          </w:tcPr>
          <w:p w14:paraId="0F65C976" w14:textId="77777777" w:rsidR="00940418" w:rsidRPr="00FC03D7" w:rsidRDefault="00940418" w:rsidP="00FC03D7">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20"/>
                <w:szCs w:val="18"/>
                <w:lang w:val="es-ES_tradnl" w:eastAsia="es-ES_tradnl"/>
              </w:rPr>
            </w:pPr>
          </w:p>
          <w:p w14:paraId="4EEE7C2C" w14:textId="77777777" w:rsidR="00940418" w:rsidRPr="00FC03D7" w:rsidRDefault="00940418" w:rsidP="00FC03D7">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20"/>
                <w:szCs w:val="18"/>
                <w:lang w:val="es-ES_tradnl" w:eastAsia="es-ES_tradnl"/>
              </w:rPr>
            </w:pPr>
            <w:r w:rsidRPr="00FC03D7">
              <w:rPr>
                <w:rFonts w:ascii="Avenir LT Std 35 Light" w:eastAsia="Sabon MT Std" w:hAnsi="Avenir LT Std 35 Light" w:cs="Sabon MT Std"/>
                <w:color w:val="000000"/>
                <w:sz w:val="20"/>
                <w:szCs w:val="18"/>
                <w:lang w:val="es-ES_tradnl" w:eastAsia="es-ES_tradnl"/>
              </w:rPr>
              <w:t>%</w:t>
            </w:r>
          </w:p>
        </w:tc>
      </w:tr>
      <w:tr w:rsidR="00940418" w:rsidRPr="00E606D0" w14:paraId="38D2E977" w14:textId="77777777" w:rsidTr="00FC03D7">
        <w:trPr>
          <w:trHeight w:val="243"/>
        </w:trPr>
        <w:tc>
          <w:tcPr>
            <w:tcW w:w="4706" w:type="dxa"/>
            <w:noWrap/>
            <w:hideMark/>
          </w:tcPr>
          <w:p w14:paraId="646EA692" w14:textId="77777777" w:rsidR="00940418" w:rsidRPr="00724C75" w:rsidRDefault="00940418" w:rsidP="00FC03D7">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Universidad del Norte</w:t>
            </w:r>
          </w:p>
        </w:tc>
        <w:tc>
          <w:tcPr>
            <w:tcW w:w="2093" w:type="dxa"/>
            <w:noWrap/>
            <w:hideMark/>
          </w:tcPr>
          <w:p w14:paraId="03F918B1" w14:textId="77777777" w:rsidR="00940418" w:rsidRPr="00724C75" w:rsidRDefault="00940418" w:rsidP="00FC03D7">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24</w:t>
            </w:r>
          </w:p>
        </w:tc>
        <w:tc>
          <w:tcPr>
            <w:tcW w:w="1276" w:type="dxa"/>
            <w:noWrap/>
            <w:hideMark/>
          </w:tcPr>
          <w:p w14:paraId="0634F620" w14:textId="77777777" w:rsidR="00940418" w:rsidRPr="00724C75" w:rsidRDefault="00940418" w:rsidP="00FC03D7">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15,5</w:t>
            </w:r>
          </w:p>
        </w:tc>
      </w:tr>
      <w:tr w:rsidR="00940418" w:rsidRPr="00E606D0" w14:paraId="415B16CF" w14:textId="77777777" w:rsidTr="00FC03D7">
        <w:trPr>
          <w:trHeight w:val="243"/>
        </w:trPr>
        <w:tc>
          <w:tcPr>
            <w:tcW w:w="4706" w:type="dxa"/>
            <w:noWrap/>
            <w:hideMark/>
          </w:tcPr>
          <w:p w14:paraId="0E534AC8" w14:textId="77777777" w:rsidR="00940418" w:rsidRPr="00724C75" w:rsidRDefault="00940418" w:rsidP="00FC03D7">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Universidad del Rosario</w:t>
            </w:r>
          </w:p>
        </w:tc>
        <w:tc>
          <w:tcPr>
            <w:tcW w:w="2093" w:type="dxa"/>
            <w:noWrap/>
            <w:hideMark/>
          </w:tcPr>
          <w:p w14:paraId="2C689840" w14:textId="77777777" w:rsidR="00940418" w:rsidRPr="00724C75" w:rsidRDefault="00940418" w:rsidP="00FC03D7">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21</w:t>
            </w:r>
          </w:p>
        </w:tc>
        <w:tc>
          <w:tcPr>
            <w:tcW w:w="1276" w:type="dxa"/>
            <w:noWrap/>
            <w:hideMark/>
          </w:tcPr>
          <w:p w14:paraId="43A58E91" w14:textId="77777777" w:rsidR="00940418" w:rsidRPr="00724C75" w:rsidRDefault="00940418" w:rsidP="00FC03D7">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15,4</w:t>
            </w:r>
          </w:p>
        </w:tc>
      </w:tr>
      <w:tr w:rsidR="00940418" w:rsidRPr="00E606D0" w14:paraId="4D1FDE7E" w14:textId="77777777" w:rsidTr="00FC03D7">
        <w:trPr>
          <w:trHeight w:val="243"/>
        </w:trPr>
        <w:tc>
          <w:tcPr>
            <w:tcW w:w="4706" w:type="dxa"/>
            <w:noWrap/>
            <w:hideMark/>
          </w:tcPr>
          <w:p w14:paraId="5E86DDA3" w14:textId="77777777" w:rsidR="00940418" w:rsidRPr="00724C75" w:rsidRDefault="00940418" w:rsidP="00FC03D7">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Universidad de la Costa</w:t>
            </w:r>
          </w:p>
        </w:tc>
        <w:tc>
          <w:tcPr>
            <w:tcW w:w="2093" w:type="dxa"/>
            <w:noWrap/>
            <w:hideMark/>
          </w:tcPr>
          <w:p w14:paraId="76F19944" w14:textId="77777777" w:rsidR="00940418" w:rsidRPr="00724C75" w:rsidRDefault="00940418" w:rsidP="00FC03D7">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21</w:t>
            </w:r>
          </w:p>
        </w:tc>
        <w:tc>
          <w:tcPr>
            <w:tcW w:w="1276" w:type="dxa"/>
            <w:noWrap/>
            <w:hideMark/>
          </w:tcPr>
          <w:p w14:paraId="2D91CADA" w14:textId="77777777" w:rsidR="00940418" w:rsidRPr="00724C75" w:rsidRDefault="00940418" w:rsidP="00FC03D7">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13,1</w:t>
            </w:r>
          </w:p>
        </w:tc>
      </w:tr>
      <w:tr w:rsidR="00940418" w:rsidRPr="00E606D0" w14:paraId="3754A3FB" w14:textId="77777777" w:rsidTr="00FC03D7">
        <w:trPr>
          <w:trHeight w:val="243"/>
        </w:trPr>
        <w:tc>
          <w:tcPr>
            <w:tcW w:w="4706" w:type="dxa"/>
            <w:noWrap/>
            <w:hideMark/>
          </w:tcPr>
          <w:p w14:paraId="5AA764AF" w14:textId="77777777" w:rsidR="00940418" w:rsidRPr="00724C75" w:rsidRDefault="00940418" w:rsidP="00FC03D7">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Universidad de Antioquía</w:t>
            </w:r>
          </w:p>
        </w:tc>
        <w:tc>
          <w:tcPr>
            <w:tcW w:w="2093" w:type="dxa"/>
            <w:noWrap/>
            <w:hideMark/>
          </w:tcPr>
          <w:p w14:paraId="62CE7067" w14:textId="77777777" w:rsidR="00940418" w:rsidRPr="00724C75" w:rsidRDefault="00940418" w:rsidP="00FC03D7">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19</w:t>
            </w:r>
          </w:p>
        </w:tc>
        <w:tc>
          <w:tcPr>
            <w:tcW w:w="1276" w:type="dxa"/>
            <w:noWrap/>
            <w:hideMark/>
          </w:tcPr>
          <w:p w14:paraId="24BB0FAA" w14:textId="77777777" w:rsidR="00940418" w:rsidRPr="00724C75" w:rsidRDefault="00940418" w:rsidP="00FC03D7">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11,9</w:t>
            </w:r>
          </w:p>
        </w:tc>
      </w:tr>
      <w:tr w:rsidR="00940418" w:rsidRPr="00E606D0" w14:paraId="69CD5421" w14:textId="77777777" w:rsidTr="00FC03D7">
        <w:trPr>
          <w:trHeight w:val="243"/>
        </w:trPr>
        <w:tc>
          <w:tcPr>
            <w:tcW w:w="4706" w:type="dxa"/>
            <w:noWrap/>
            <w:hideMark/>
          </w:tcPr>
          <w:p w14:paraId="4523A901" w14:textId="77777777" w:rsidR="00940418" w:rsidRPr="00724C75" w:rsidRDefault="00940418" w:rsidP="00FC03D7">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Universidad Tecnológica de Pereira</w:t>
            </w:r>
          </w:p>
        </w:tc>
        <w:tc>
          <w:tcPr>
            <w:tcW w:w="2093" w:type="dxa"/>
            <w:noWrap/>
            <w:hideMark/>
          </w:tcPr>
          <w:p w14:paraId="04175685" w14:textId="77777777" w:rsidR="00940418" w:rsidRPr="00724C75" w:rsidRDefault="00940418" w:rsidP="00FC03D7">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17</w:t>
            </w:r>
          </w:p>
        </w:tc>
        <w:tc>
          <w:tcPr>
            <w:tcW w:w="1276" w:type="dxa"/>
            <w:noWrap/>
            <w:hideMark/>
          </w:tcPr>
          <w:p w14:paraId="0E5EE6EA" w14:textId="77777777" w:rsidR="00940418" w:rsidRPr="00724C75" w:rsidRDefault="00940418" w:rsidP="00FC03D7">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9,4</w:t>
            </w:r>
          </w:p>
        </w:tc>
      </w:tr>
    </w:tbl>
    <w:p w14:paraId="0774AB35" w14:textId="77777777" w:rsidR="00DA1420" w:rsidRPr="00DA1420" w:rsidRDefault="00DA1420" w:rsidP="00DA1420">
      <w:pPr>
        <w:spacing w:line="360" w:lineRule="auto"/>
        <w:rPr>
          <w:rFonts w:eastAsia="TimesNewRomanPSMT"/>
          <w:bCs/>
          <w:iCs/>
          <w:sz w:val="20"/>
          <w:szCs w:val="20"/>
          <w:lang w:eastAsia="es-ES_tradnl"/>
        </w:rPr>
      </w:pPr>
      <w:r w:rsidRPr="00686EEA">
        <w:rPr>
          <w:rFonts w:eastAsia="TimesNewRomanPSMT"/>
          <w:b/>
          <w:iCs/>
          <w:sz w:val="20"/>
          <w:szCs w:val="20"/>
          <w:lang w:eastAsia="es-ES_tradnl"/>
        </w:rPr>
        <w:t>Fuente:</w:t>
      </w:r>
      <w:r>
        <w:rPr>
          <w:rFonts w:eastAsia="TimesNewRomanPSMT"/>
          <w:b/>
          <w:iCs/>
          <w:sz w:val="20"/>
          <w:szCs w:val="20"/>
          <w:lang w:eastAsia="es-ES_tradnl"/>
        </w:rPr>
        <w:t xml:space="preserve"> </w:t>
      </w:r>
      <w:r>
        <w:rPr>
          <w:rFonts w:eastAsia="TimesNewRomanPSMT"/>
          <w:bCs/>
          <w:iCs/>
          <w:sz w:val="20"/>
          <w:szCs w:val="20"/>
          <w:lang w:eastAsia="es-ES_tradnl"/>
        </w:rPr>
        <w:t>Elaboración propia.</w:t>
      </w:r>
    </w:p>
    <w:p w14:paraId="607D2D1E" w14:textId="39C6B44F" w:rsidR="0014041F" w:rsidRDefault="0014041F" w:rsidP="00676A6F">
      <w:pPr>
        <w:spacing w:line="360" w:lineRule="auto"/>
        <w:rPr>
          <w:color w:val="000000"/>
          <w:lang w:eastAsia="es-CO"/>
        </w:rPr>
      </w:pPr>
    </w:p>
    <w:p w14:paraId="17001A29" w14:textId="2AB578F4" w:rsidR="00850B14" w:rsidRPr="00931911" w:rsidRDefault="00E87953" w:rsidP="003C3455">
      <w:pPr>
        <w:spacing w:line="480" w:lineRule="auto"/>
        <w:rPr>
          <w:color w:val="000000"/>
          <w:lang w:eastAsia="es-CO"/>
        </w:rPr>
      </w:pPr>
      <w:r>
        <w:rPr>
          <w:color w:val="000000"/>
          <w:lang w:eastAsia="es-CO"/>
        </w:rPr>
        <w:lastRenderedPageBreak/>
        <w:t>Por su parte, la University of Michigan de Ann Arbor y la University of California en Berkeley son las instituciones internacionales que mayor porcentaje de electivas no profesionales imparte</w:t>
      </w:r>
      <w:r w:rsidR="00966DAC">
        <w:rPr>
          <w:color w:val="000000"/>
          <w:lang w:eastAsia="es-CO"/>
        </w:rPr>
        <w:t>n</w:t>
      </w:r>
      <w:r>
        <w:rPr>
          <w:color w:val="000000"/>
          <w:lang w:eastAsia="es-CO"/>
        </w:rPr>
        <w:t>, con un 28,9% de interdisciplinariedad cada una.</w:t>
      </w:r>
    </w:p>
    <w:p w14:paraId="6B806FC9" w14:textId="137CA051" w:rsidR="00DA4672" w:rsidRPr="00856CFA" w:rsidRDefault="00DA4672" w:rsidP="003C3455">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jc w:val="both"/>
        <w:rPr>
          <w:rFonts w:ascii="TimesNewRomanPSMT" w:eastAsia="TimesNewRomanPSMT" w:hAnsi="TimesNewRomanPSMT" w:cs="TimesNewRomanPSMT"/>
          <w:b/>
          <w:lang w:eastAsia="es-ES_tradnl"/>
        </w:rPr>
      </w:pPr>
      <w:r w:rsidRPr="00856CFA">
        <w:rPr>
          <w:rFonts w:ascii="TimesNewRomanPSMT" w:eastAsia="TimesNewRomanPSMT" w:hAnsi="TimesNewRomanPSMT" w:cs="TimesNewRomanPSMT"/>
          <w:b/>
          <w:lang w:eastAsia="es-ES_tradnl"/>
        </w:rPr>
        <w:t>Tabla 4.</w:t>
      </w:r>
    </w:p>
    <w:p w14:paraId="2CEF08EA" w14:textId="3FE2666E" w:rsidR="00DA4672" w:rsidRPr="004C0D42" w:rsidRDefault="00DA4672" w:rsidP="00DA4672">
      <w:pPr>
        <w:spacing w:line="360" w:lineRule="auto"/>
        <w:rPr>
          <w:i/>
          <w:iCs/>
          <w:lang w:val="es-MX"/>
        </w:rPr>
      </w:pPr>
      <w:r w:rsidRPr="004C0D42">
        <w:rPr>
          <w:i/>
          <w:iCs/>
          <w:lang w:val="es-MX"/>
        </w:rPr>
        <w:t>Electivas no profesionales cursadas en las universidades internacionales.</w:t>
      </w:r>
    </w:p>
    <w:tbl>
      <w:tblPr>
        <w:tblStyle w:val="Tablanormal2"/>
        <w:tblW w:w="8075" w:type="dxa"/>
        <w:tblLayout w:type="fixed"/>
        <w:tblLook w:val="0620" w:firstRow="1" w:lastRow="0" w:firstColumn="0" w:lastColumn="0" w:noHBand="1" w:noVBand="1"/>
      </w:tblPr>
      <w:tblGrid>
        <w:gridCol w:w="4673"/>
        <w:gridCol w:w="2126"/>
        <w:gridCol w:w="1276"/>
      </w:tblGrid>
      <w:tr w:rsidR="00DA4672" w:rsidRPr="00516B84" w14:paraId="3D31F8A0" w14:textId="77777777" w:rsidTr="00724C75">
        <w:trPr>
          <w:cnfStyle w:val="100000000000" w:firstRow="1" w:lastRow="0" w:firstColumn="0" w:lastColumn="0" w:oddVBand="0" w:evenVBand="0" w:oddHBand="0" w:evenHBand="0" w:firstRowFirstColumn="0" w:firstRowLastColumn="0" w:lastRowFirstColumn="0" w:lastRowLastColumn="0"/>
          <w:trHeight w:val="707"/>
        </w:trPr>
        <w:tc>
          <w:tcPr>
            <w:tcW w:w="4673" w:type="dxa"/>
            <w:noWrap/>
            <w:hideMark/>
          </w:tcPr>
          <w:p w14:paraId="6935C8A8" w14:textId="77777777" w:rsidR="00DA4672" w:rsidRPr="00724C75" w:rsidRDefault="00DA4672" w:rsidP="00724C7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20"/>
                <w:szCs w:val="18"/>
                <w:lang w:val="es-ES_tradnl" w:eastAsia="es-ES_tradnl"/>
              </w:rPr>
            </w:pPr>
          </w:p>
          <w:p w14:paraId="4F5FB217" w14:textId="77777777" w:rsidR="00DA4672" w:rsidRPr="00724C75" w:rsidRDefault="00DA4672" w:rsidP="00724C7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20"/>
                <w:szCs w:val="18"/>
                <w:lang w:val="es-ES_tradnl" w:eastAsia="es-ES_tradnl"/>
              </w:rPr>
            </w:pPr>
            <w:r w:rsidRPr="00724C75">
              <w:rPr>
                <w:rFonts w:ascii="Avenir LT Std 35 Light" w:eastAsia="Sabon MT Std" w:hAnsi="Avenir LT Std 35 Light" w:cs="Sabon MT Std"/>
                <w:color w:val="000000"/>
                <w:sz w:val="20"/>
                <w:szCs w:val="18"/>
                <w:lang w:val="es-ES_tradnl" w:eastAsia="es-ES_tradnl"/>
              </w:rPr>
              <w:t>Universidad</w:t>
            </w:r>
          </w:p>
        </w:tc>
        <w:tc>
          <w:tcPr>
            <w:tcW w:w="2126" w:type="dxa"/>
            <w:hideMark/>
          </w:tcPr>
          <w:p w14:paraId="25400D20" w14:textId="77777777" w:rsidR="00DA4672" w:rsidRPr="00724C75" w:rsidRDefault="00DA4672" w:rsidP="00724C7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20"/>
                <w:szCs w:val="18"/>
                <w:lang w:val="es-ES_tradnl" w:eastAsia="es-ES_tradnl"/>
              </w:rPr>
            </w:pPr>
            <w:r w:rsidRPr="00724C75">
              <w:rPr>
                <w:rFonts w:ascii="Avenir LT Std 35 Light" w:eastAsia="Sabon MT Std" w:hAnsi="Avenir LT Std 35 Light" w:cs="Sabon MT Std"/>
                <w:color w:val="000000"/>
                <w:sz w:val="20"/>
                <w:szCs w:val="18"/>
                <w:lang w:val="es-ES_tradnl" w:eastAsia="es-ES_tradnl"/>
              </w:rPr>
              <w:t>Créditos Electivas no profesionales</w:t>
            </w:r>
          </w:p>
        </w:tc>
        <w:tc>
          <w:tcPr>
            <w:tcW w:w="1276" w:type="dxa"/>
            <w:noWrap/>
            <w:hideMark/>
          </w:tcPr>
          <w:p w14:paraId="25444644" w14:textId="77777777" w:rsidR="00DA4672" w:rsidRPr="00724C75" w:rsidRDefault="00DA4672" w:rsidP="00724C7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20"/>
                <w:szCs w:val="18"/>
                <w:lang w:val="es-ES_tradnl" w:eastAsia="es-ES_tradnl"/>
              </w:rPr>
            </w:pPr>
          </w:p>
          <w:p w14:paraId="474856AD" w14:textId="77777777" w:rsidR="00DA4672" w:rsidRPr="00724C75" w:rsidRDefault="00DA4672" w:rsidP="00724C7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20"/>
                <w:szCs w:val="18"/>
                <w:lang w:val="es-ES_tradnl" w:eastAsia="es-ES_tradnl"/>
              </w:rPr>
            </w:pPr>
            <w:r w:rsidRPr="00724C75">
              <w:rPr>
                <w:rFonts w:ascii="Avenir LT Std 35 Light" w:eastAsia="Sabon MT Std" w:hAnsi="Avenir LT Std 35 Light" w:cs="Sabon MT Std"/>
                <w:color w:val="000000"/>
                <w:sz w:val="20"/>
                <w:szCs w:val="18"/>
                <w:lang w:val="es-ES_tradnl" w:eastAsia="es-ES_tradnl"/>
              </w:rPr>
              <w:t>%</w:t>
            </w:r>
          </w:p>
        </w:tc>
      </w:tr>
      <w:tr w:rsidR="00DA4672" w:rsidRPr="00516B84" w14:paraId="2B7E1B8E" w14:textId="77777777" w:rsidTr="00724C75">
        <w:trPr>
          <w:trHeight w:val="281"/>
        </w:trPr>
        <w:tc>
          <w:tcPr>
            <w:tcW w:w="4673" w:type="dxa"/>
            <w:noWrap/>
            <w:hideMark/>
          </w:tcPr>
          <w:p w14:paraId="176B7802" w14:textId="77777777" w:rsidR="00DA4672" w:rsidRPr="001820FC" w:rsidRDefault="00DA4672" w:rsidP="00724C7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n-US" w:eastAsia="es-ES_tradnl"/>
              </w:rPr>
            </w:pPr>
            <w:r w:rsidRPr="001820FC">
              <w:rPr>
                <w:rFonts w:ascii="Avenir LT Std 35 Light" w:eastAsia="Sabon MT Std" w:hAnsi="Avenir LT Std 35 Light" w:cs="Sabon MT Std"/>
                <w:color w:val="000000"/>
                <w:sz w:val="18"/>
                <w:szCs w:val="18"/>
                <w:lang w:val="en-US" w:eastAsia="es-ES_tradnl"/>
              </w:rPr>
              <w:t>University of Michigan-Ann Arbor</w:t>
            </w:r>
          </w:p>
        </w:tc>
        <w:tc>
          <w:tcPr>
            <w:tcW w:w="2126" w:type="dxa"/>
            <w:noWrap/>
            <w:hideMark/>
          </w:tcPr>
          <w:p w14:paraId="10E7A4A5" w14:textId="77777777" w:rsidR="00DA4672" w:rsidRPr="00724C75" w:rsidRDefault="00DA4672" w:rsidP="00724C7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37</w:t>
            </w:r>
          </w:p>
        </w:tc>
        <w:tc>
          <w:tcPr>
            <w:tcW w:w="1276" w:type="dxa"/>
            <w:noWrap/>
            <w:hideMark/>
          </w:tcPr>
          <w:p w14:paraId="21A3FF19" w14:textId="77777777" w:rsidR="00DA4672" w:rsidRPr="00724C75" w:rsidRDefault="00DA4672" w:rsidP="00724C7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28,9</w:t>
            </w:r>
          </w:p>
        </w:tc>
      </w:tr>
      <w:tr w:rsidR="00DA4672" w:rsidRPr="00516B84" w14:paraId="5093BEF6" w14:textId="77777777" w:rsidTr="00724C75">
        <w:trPr>
          <w:trHeight w:val="281"/>
        </w:trPr>
        <w:tc>
          <w:tcPr>
            <w:tcW w:w="4673" w:type="dxa"/>
            <w:noWrap/>
            <w:hideMark/>
          </w:tcPr>
          <w:p w14:paraId="1FF3D647" w14:textId="77777777" w:rsidR="00DA4672" w:rsidRPr="00724C75" w:rsidRDefault="00DA4672" w:rsidP="00724C7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 xml:space="preserve">University of California, Berkeley </w:t>
            </w:r>
          </w:p>
        </w:tc>
        <w:tc>
          <w:tcPr>
            <w:tcW w:w="2126" w:type="dxa"/>
            <w:noWrap/>
            <w:hideMark/>
          </w:tcPr>
          <w:p w14:paraId="68702467" w14:textId="77777777" w:rsidR="00DA4672" w:rsidRPr="00724C75" w:rsidRDefault="00DA4672" w:rsidP="00724C7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37</w:t>
            </w:r>
          </w:p>
        </w:tc>
        <w:tc>
          <w:tcPr>
            <w:tcW w:w="1276" w:type="dxa"/>
            <w:noWrap/>
            <w:hideMark/>
          </w:tcPr>
          <w:p w14:paraId="31316F9E" w14:textId="77777777" w:rsidR="00DA4672" w:rsidRPr="00724C75" w:rsidRDefault="00DA4672" w:rsidP="00724C7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28,9</w:t>
            </w:r>
          </w:p>
        </w:tc>
      </w:tr>
      <w:tr w:rsidR="00DA4672" w:rsidRPr="00516B84" w14:paraId="1745CB30" w14:textId="77777777" w:rsidTr="00724C75">
        <w:trPr>
          <w:trHeight w:val="281"/>
        </w:trPr>
        <w:tc>
          <w:tcPr>
            <w:tcW w:w="4673" w:type="dxa"/>
            <w:noWrap/>
            <w:hideMark/>
          </w:tcPr>
          <w:p w14:paraId="4F11D6E8" w14:textId="77777777" w:rsidR="00DA4672" w:rsidRPr="001820FC" w:rsidRDefault="00DA4672" w:rsidP="00724C7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n-US" w:eastAsia="es-ES_tradnl"/>
              </w:rPr>
            </w:pPr>
            <w:r w:rsidRPr="001820FC">
              <w:rPr>
                <w:rFonts w:ascii="Avenir LT Std 35 Light" w:eastAsia="Sabon MT Std" w:hAnsi="Avenir LT Std 35 Light" w:cs="Sabon MT Std"/>
                <w:color w:val="000000"/>
                <w:sz w:val="18"/>
                <w:szCs w:val="18"/>
                <w:lang w:val="en-US" w:eastAsia="es-ES_tradnl"/>
              </w:rPr>
              <w:t>University of Illinois at Urbana-Champaign</w:t>
            </w:r>
          </w:p>
        </w:tc>
        <w:tc>
          <w:tcPr>
            <w:tcW w:w="2126" w:type="dxa"/>
            <w:noWrap/>
            <w:hideMark/>
          </w:tcPr>
          <w:p w14:paraId="7A6E5F90" w14:textId="77777777" w:rsidR="00DA4672" w:rsidRPr="00724C75" w:rsidRDefault="00DA4672" w:rsidP="00724C7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23</w:t>
            </w:r>
          </w:p>
        </w:tc>
        <w:tc>
          <w:tcPr>
            <w:tcW w:w="1276" w:type="dxa"/>
            <w:noWrap/>
            <w:hideMark/>
          </w:tcPr>
          <w:p w14:paraId="77551CFB" w14:textId="77777777" w:rsidR="00DA4672" w:rsidRPr="00724C75" w:rsidRDefault="00DA4672" w:rsidP="00724C7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18,0</w:t>
            </w:r>
          </w:p>
        </w:tc>
      </w:tr>
      <w:tr w:rsidR="00DA4672" w:rsidRPr="00516B84" w14:paraId="7C9ACE52" w14:textId="77777777" w:rsidTr="00724C75">
        <w:trPr>
          <w:trHeight w:val="281"/>
        </w:trPr>
        <w:tc>
          <w:tcPr>
            <w:tcW w:w="4673" w:type="dxa"/>
            <w:noWrap/>
            <w:hideMark/>
          </w:tcPr>
          <w:p w14:paraId="6B90A99B" w14:textId="77777777" w:rsidR="00DA4672" w:rsidRPr="00724C75" w:rsidRDefault="00DA4672" w:rsidP="00724C7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University of Arizona</w:t>
            </w:r>
          </w:p>
        </w:tc>
        <w:tc>
          <w:tcPr>
            <w:tcW w:w="2126" w:type="dxa"/>
            <w:noWrap/>
            <w:hideMark/>
          </w:tcPr>
          <w:p w14:paraId="27C78FDA" w14:textId="77777777" w:rsidR="00DA4672" w:rsidRPr="00724C75" w:rsidRDefault="00DA4672" w:rsidP="00724C7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20</w:t>
            </w:r>
          </w:p>
        </w:tc>
        <w:tc>
          <w:tcPr>
            <w:tcW w:w="1276" w:type="dxa"/>
            <w:noWrap/>
            <w:hideMark/>
          </w:tcPr>
          <w:p w14:paraId="2DE67171" w14:textId="77777777" w:rsidR="00DA4672" w:rsidRPr="00724C75" w:rsidRDefault="00DA4672" w:rsidP="00724C7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15,4</w:t>
            </w:r>
          </w:p>
        </w:tc>
      </w:tr>
      <w:tr w:rsidR="00DA4672" w:rsidRPr="00516B84" w14:paraId="061D1B77" w14:textId="77777777" w:rsidTr="00724C75">
        <w:trPr>
          <w:trHeight w:val="281"/>
        </w:trPr>
        <w:tc>
          <w:tcPr>
            <w:tcW w:w="4673" w:type="dxa"/>
            <w:noWrap/>
            <w:hideMark/>
          </w:tcPr>
          <w:p w14:paraId="59EA0A90" w14:textId="77777777" w:rsidR="00DA4672" w:rsidRPr="00724C75" w:rsidRDefault="00DA4672" w:rsidP="00724C7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Purdue University</w:t>
            </w:r>
          </w:p>
        </w:tc>
        <w:tc>
          <w:tcPr>
            <w:tcW w:w="2126" w:type="dxa"/>
            <w:noWrap/>
            <w:hideMark/>
          </w:tcPr>
          <w:p w14:paraId="02A40A03" w14:textId="77777777" w:rsidR="00DA4672" w:rsidRPr="00724C75" w:rsidRDefault="00DA4672" w:rsidP="00724C7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18</w:t>
            </w:r>
          </w:p>
        </w:tc>
        <w:tc>
          <w:tcPr>
            <w:tcW w:w="1276" w:type="dxa"/>
            <w:noWrap/>
            <w:hideMark/>
          </w:tcPr>
          <w:p w14:paraId="6A20C471" w14:textId="77777777" w:rsidR="00DA4672" w:rsidRPr="00724C75" w:rsidRDefault="00DA4672" w:rsidP="00724C75">
            <w:pPr>
              <w:tabs>
                <w:tab w:val="left" w:pos="708"/>
                <w:tab w:val="left" w:pos="1416"/>
                <w:tab w:val="left" w:pos="2124"/>
                <w:tab w:val="left" w:pos="2832"/>
                <w:tab w:val="left" w:pos="3540"/>
                <w:tab w:val="left" w:pos="4248"/>
                <w:tab w:val="left" w:pos="4956"/>
                <w:tab w:val="left" w:pos="5664"/>
                <w:tab w:val="left" w:pos="6372"/>
                <w:tab w:val="left" w:pos="7080"/>
                <w:tab w:val="left" w:pos="7788"/>
              </w:tabs>
              <w:spacing w:line="276" w:lineRule="auto"/>
              <w:jc w:val="both"/>
              <w:rPr>
                <w:rFonts w:ascii="Avenir LT Std 35 Light" w:eastAsia="Sabon MT Std" w:hAnsi="Avenir LT Std 35 Light" w:cs="Sabon MT Std"/>
                <w:color w:val="000000"/>
                <w:sz w:val="18"/>
                <w:szCs w:val="18"/>
                <w:lang w:val="es-ES_tradnl" w:eastAsia="es-ES_tradnl"/>
              </w:rPr>
            </w:pPr>
            <w:r w:rsidRPr="00724C75">
              <w:rPr>
                <w:rFonts w:ascii="Avenir LT Std 35 Light" w:eastAsia="Sabon MT Std" w:hAnsi="Avenir LT Std 35 Light" w:cs="Sabon MT Std"/>
                <w:color w:val="000000"/>
                <w:sz w:val="18"/>
                <w:szCs w:val="18"/>
                <w:lang w:val="es-ES_tradnl" w:eastAsia="es-ES_tradnl"/>
              </w:rPr>
              <w:t>14,3</w:t>
            </w:r>
          </w:p>
        </w:tc>
      </w:tr>
    </w:tbl>
    <w:p w14:paraId="52C012DE" w14:textId="3EE82E16" w:rsidR="00207AAE" w:rsidRPr="00916703" w:rsidRDefault="00DA1420" w:rsidP="00916703">
      <w:pPr>
        <w:spacing w:line="360" w:lineRule="auto"/>
        <w:rPr>
          <w:rFonts w:eastAsia="TimesNewRomanPSMT"/>
          <w:bCs/>
          <w:iCs/>
          <w:sz w:val="20"/>
          <w:szCs w:val="20"/>
          <w:lang w:eastAsia="es-ES_tradnl"/>
        </w:rPr>
      </w:pPr>
      <w:r w:rsidRPr="00686EEA">
        <w:rPr>
          <w:rFonts w:eastAsia="TimesNewRomanPSMT"/>
          <w:b/>
          <w:iCs/>
          <w:sz w:val="20"/>
          <w:szCs w:val="20"/>
          <w:lang w:eastAsia="es-ES_tradnl"/>
        </w:rPr>
        <w:t>Fuente:</w:t>
      </w:r>
      <w:r>
        <w:rPr>
          <w:rFonts w:eastAsia="TimesNewRomanPSMT"/>
          <w:b/>
          <w:iCs/>
          <w:sz w:val="20"/>
          <w:szCs w:val="20"/>
          <w:lang w:eastAsia="es-ES_tradnl"/>
        </w:rPr>
        <w:t xml:space="preserve"> </w:t>
      </w:r>
      <w:r>
        <w:rPr>
          <w:rFonts w:eastAsia="TimesNewRomanPSMT"/>
          <w:bCs/>
          <w:iCs/>
          <w:sz w:val="20"/>
          <w:szCs w:val="20"/>
          <w:lang w:eastAsia="es-ES_tradnl"/>
        </w:rPr>
        <w:t>Elaboración propia.</w:t>
      </w:r>
    </w:p>
    <w:p w14:paraId="60983488" w14:textId="77777777" w:rsidR="003D6017" w:rsidRDefault="003D6017" w:rsidP="00D71DD1">
      <w:pPr>
        <w:spacing w:line="480" w:lineRule="auto"/>
        <w:rPr>
          <w:b/>
          <w:bCs/>
          <w:color w:val="000000"/>
          <w:lang w:eastAsia="es-CO"/>
        </w:rPr>
      </w:pPr>
    </w:p>
    <w:p w14:paraId="3E167F63" w14:textId="15AB1D85" w:rsidR="00DA18BF" w:rsidRDefault="00DA18BF" w:rsidP="00D71DD1">
      <w:pPr>
        <w:spacing w:line="480" w:lineRule="auto"/>
        <w:rPr>
          <w:b/>
          <w:bCs/>
          <w:color w:val="000000"/>
          <w:lang w:eastAsia="es-CO"/>
        </w:rPr>
      </w:pPr>
      <w:r>
        <w:rPr>
          <w:b/>
          <w:bCs/>
          <w:color w:val="000000"/>
          <w:lang w:eastAsia="es-CO"/>
        </w:rPr>
        <w:t>Clasificación por asignaturas</w:t>
      </w:r>
    </w:p>
    <w:p w14:paraId="7FBE9DD6" w14:textId="0220EFDA" w:rsidR="002B2ED1" w:rsidRPr="002B2ED1" w:rsidRDefault="008C5551" w:rsidP="002B2ED1">
      <w:pPr>
        <w:spacing w:line="480" w:lineRule="auto"/>
        <w:ind w:firstLine="708"/>
        <w:rPr>
          <w:lang w:val="es-MX"/>
        </w:rPr>
      </w:pPr>
      <w:r w:rsidRPr="00881737">
        <w:rPr>
          <w:lang w:val="es-MX"/>
        </w:rPr>
        <w:t xml:space="preserve">En la Figura </w:t>
      </w:r>
      <w:r w:rsidR="007B0995">
        <w:rPr>
          <w:lang w:val="es-MX"/>
        </w:rPr>
        <w:t>1</w:t>
      </w:r>
      <w:r w:rsidRPr="00881737">
        <w:rPr>
          <w:lang w:val="es-MX"/>
        </w:rPr>
        <w:t xml:space="preserve"> se presenta el comportamiento de las universidades de acuerdo a la cantidad de créditos</w:t>
      </w:r>
      <w:r>
        <w:rPr>
          <w:lang w:val="es-MX"/>
        </w:rPr>
        <w:t>, correspondientes a las asignaturas</w:t>
      </w:r>
      <w:r w:rsidRPr="00881737">
        <w:rPr>
          <w:lang w:val="es-MX"/>
        </w:rPr>
        <w:t xml:space="preserve"> clasificad</w:t>
      </w:r>
      <w:r>
        <w:rPr>
          <w:lang w:val="es-MX"/>
        </w:rPr>
        <w:t>a</w:t>
      </w:r>
      <w:r w:rsidRPr="00881737">
        <w:rPr>
          <w:lang w:val="es-MX"/>
        </w:rPr>
        <w:t xml:space="preserve">s en cada una de las </w:t>
      </w:r>
      <w:r>
        <w:rPr>
          <w:lang w:val="es-MX"/>
        </w:rPr>
        <w:t>áreas del conocimiento del IISE</w:t>
      </w:r>
      <w:r w:rsidRPr="00881737">
        <w:rPr>
          <w:lang w:val="es-MX"/>
        </w:rPr>
        <w:t>.</w:t>
      </w:r>
      <w:r>
        <w:rPr>
          <w:lang w:val="es-MX"/>
        </w:rPr>
        <w:t xml:space="preserve"> </w:t>
      </w:r>
    </w:p>
    <w:p w14:paraId="43D1EFCE" w14:textId="6C27D3EA" w:rsidR="00D777FC" w:rsidRPr="00856CFA" w:rsidRDefault="00D777FC" w:rsidP="00856CFA">
      <w:pPr>
        <w:keepNext/>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480" w:lineRule="auto"/>
        <w:jc w:val="both"/>
        <w:rPr>
          <w:rFonts w:ascii="TimesNewRomanPSMT" w:eastAsia="TimesNewRomanPSMT" w:hAnsi="TimesNewRomanPSMT" w:cs="TimesNewRomanPSMT"/>
          <w:b/>
          <w:lang w:eastAsia="es-ES_tradnl"/>
        </w:rPr>
      </w:pPr>
      <w:r w:rsidRPr="00856CFA">
        <w:rPr>
          <w:rFonts w:ascii="TimesNewRomanPSMT" w:eastAsia="TimesNewRomanPSMT" w:hAnsi="TimesNewRomanPSMT" w:cs="TimesNewRomanPSMT"/>
          <w:b/>
          <w:lang w:eastAsia="es-ES_tradnl"/>
        </w:rPr>
        <w:t xml:space="preserve">Figura </w:t>
      </w:r>
      <w:r w:rsidR="007B0995">
        <w:rPr>
          <w:rFonts w:ascii="TimesNewRomanPSMT" w:eastAsia="TimesNewRomanPSMT" w:hAnsi="TimesNewRomanPSMT" w:cs="TimesNewRomanPSMT"/>
          <w:b/>
          <w:lang w:eastAsia="es-ES_tradnl"/>
        </w:rPr>
        <w:t>1</w:t>
      </w:r>
      <w:r w:rsidRPr="00856CFA">
        <w:rPr>
          <w:rFonts w:ascii="TimesNewRomanPSMT" w:eastAsia="TimesNewRomanPSMT" w:hAnsi="TimesNewRomanPSMT" w:cs="TimesNewRomanPSMT"/>
          <w:b/>
          <w:lang w:eastAsia="es-ES_tradnl"/>
        </w:rPr>
        <w:t>.</w:t>
      </w:r>
    </w:p>
    <w:p w14:paraId="67E9890D" w14:textId="154501EB" w:rsidR="00D777FC" w:rsidRPr="00F8492F" w:rsidRDefault="00D777FC" w:rsidP="00D777FC">
      <w:pPr>
        <w:rPr>
          <w:i/>
          <w:iCs/>
          <w:lang w:val="es-MX"/>
        </w:rPr>
      </w:pPr>
      <w:r w:rsidRPr="00F8492F">
        <w:rPr>
          <w:i/>
          <w:iCs/>
          <w:lang w:val="es-MX"/>
        </w:rPr>
        <w:t>Comportamiento de las áreas del conocimiento IISE en las Universidades Nacionales e Internacionales</w:t>
      </w:r>
    </w:p>
    <w:p w14:paraId="053BA20D" w14:textId="7A5690F6" w:rsidR="00D777FC" w:rsidRDefault="00D777FC" w:rsidP="00F5008E">
      <w:pPr>
        <w:jc w:val="center"/>
        <w:rPr>
          <w:lang w:val="es-MX"/>
        </w:rPr>
      </w:pPr>
      <w:r w:rsidRPr="008B4A2D">
        <w:rPr>
          <w:noProof/>
          <w:lang w:val="es-MX"/>
        </w:rPr>
        <w:drawing>
          <wp:inline distT="0" distB="0" distL="0" distR="0" wp14:anchorId="5BC47688" wp14:editId="06990DE9">
            <wp:extent cx="4191000" cy="2647950"/>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91000" cy="2647950"/>
                    </a:xfrm>
                    <a:prstGeom prst="rect">
                      <a:avLst/>
                    </a:prstGeom>
                  </pic:spPr>
                </pic:pic>
              </a:graphicData>
            </a:graphic>
          </wp:inline>
        </w:drawing>
      </w:r>
    </w:p>
    <w:p w14:paraId="660415F7" w14:textId="1B6A3FA9" w:rsidR="00F5008E" w:rsidRDefault="00F5008E" w:rsidP="00F5008E">
      <w:pPr>
        <w:rPr>
          <w:rFonts w:eastAsia="TimesNewRomanPSMT"/>
          <w:bCs/>
          <w:iCs/>
          <w:sz w:val="20"/>
          <w:szCs w:val="20"/>
          <w:lang w:eastAsia="es-ES_tradnl"/>
        </w:rPr>
      </w:pPr>
      <w:r w:rsidRPr="00896CA9">
        <w:rPr>
          <w:rFonts w:ascii="TimesNewRomanPSMT" w:eastAsia="TimesNewRomanPSMT" w:hAnsi="TimesNewRomanPSMT" w:cs="TimesNewRomanPSMT"/>
          <w:b/>
          <w:bCs/>
          <w:sz w:val="20"/>
          <w:lang w:val="es-CO" w:eastAsia="es-ES_tradnl"/>
        </w:rPr>
        <w:t xml:space="preserve">Fuente: </w:t>
      </w:r>
      <w:r>
        <w:rPr>
          <w:rFonts w:eastAsia="TimesNewRomanPSMT"/>
          <w:bCs/>
          <w:iCs/>
          <w:sz w:val="20"/>
          <w:szCs w:val="20"/>
          <w:lang w:eastAsia="es-ES_tradnl"/>
        </w:rPr>
        <w:t>Elaboración propia a partir de datos procesados en Minitab.</w:t>
      </w:r>
    </w:p>
    <w:p w14:paraId="561909A4" w14:textId="77777777" w:rsidR="00F5008E" w:rsidRDefault="00F5008E" w:rsidP="00F5008E">
      <w:pPr>
        <w:rPr>
          <w:lang w:val="es-MX"/>
        </w:rPr>
      </w:pPr>
    </w:p>
    <w:p w14:paraId="5ECE42A0" w14:textId="405270BA" w:rsidR="00CF1237" w:rsidRDefault="00486EE9" w:rsidP="00F46493">
      <w:pPr>
        <w:spacing w:line="480" w:lineRule="auto"/>
        <w:ind w:firstLine="708"/>
        <w:rPr>
          <w:lang w:val="es-MX"/>
        </w:rPr>
      </w:pPr>
      <w:r>
        <w:rPr>
          <w:lang w:val="es-MX"/>
        </w:rPr>
        <w:t xml:space="preserve">De acuerdo a la </w:t>
      </w:r>
      <w:r w:rsidR="00CE1280">
        <w:rPr>
          <w:lang w:val="es-MX"/>
        </w:rPr>
        <w:t>F</w:t>
      </w:r>
      <w:r>
        <w:rPr>
          <w:lang w:val="es-MX"/>
        </w:rPr>
        <w:t xml:space="preserve">igura </w:t>
      </w:r>
      <w:r w:rsidR="00CE1280">
        <w:rPr>
          <w:lang w:val="es-MX"/>
        </w:rPr>
        <w:t>1</w:t>
      </w:r>
      <w:r>
        <w:rPr>
          <w:lang w:val="es-MX"/>
        </w:rPr>
        <w:t xml:space="preserve">, el área donde se </w:t>
      </w:r>
      <w:r w:rsidRPr="002F3DDB">
        <w:rPr>
          <w:lang w:val="es-MX"/>
        </w:rPr>
        <w:t>disponen</w:t>
      </w:r>
      <w:r>
        <w:rPr>
          <w:lang w:val="es-MX"/>
        </w:rPr>
        <w:t xml:space="preserve"> de asignaturas y, por tanto, mayor número de créditos en las universidades de Colombia es </w:t>
      </w:r>
      <w:r>
        <w:rPr>
          <w:i/>
          <w:iCs/>
          <w:lang w:val="es-MX"/>
        </w:rPr>
        <w:t xml:space="preserve">Gestión de ingeniería, </w:t>
      </w:r>
      <w:r w:rsidRPr="00EC537C">
        <w:rPr>
          <w:lang w:val="es-MX"/>
        </w:rPr>
        <w:t>es decir, a mayor número de créditos, mayor tiempo de enseñanza en salón a esta.</w:t>
      </w:r>
      <w:r>
        <w:rPr>
          <w:lang w:val="es-MX"/>
        </w:rPr>
        <w:t xml:space="preserve"> La Universidad Industrial de Santander en esta registra 6 materias con un total de 16 créditos de las cuales, 9 créditos pertenecen al tema Procesos de negocios</w:t>
      </w:r>
      <w:r w:rsidR="003849FF">
        <w:rPr>
          <w:lang w:val="es-MX"/>
        </w:rPr>
        <w:t>, dirigido en su mayoría al tema de mercados.</w:t>
      </w:r>
      <w:r w:rsidR="008846D8">
        <w:rPr>
          <w:lang w:val="es-MX"/>
        </w:rPr>
        <w:t xml:space="preserve"> Esta área del conocimiento es sin duda a la cual se orienta la mayor parte de tiempo y enseñanza en las universidades de Colombia, seguido por </w:t>
      </w:r>
      <w:r w:rsidR="008846D8">
        <w:rPr>
          <w:i/>
          <w:iCs/>
          <w:lang w:val="es-MX"/>
        </w:rPr>
        <w:t>Análisis económico de ingeniería</w:t>
      </w:r>
      <w:r w:rsidR="008846D8" w:rsidRPr="005B6F67">
        <w:rPr>
          <w:i/>
          <w:iCs/>
          <w:lang w:val="es-MX"/>
        </w:rPr>
        <w:t xml:space="preserve">, </w:t>
      </w:r>
      <w:r w:rsidR="008846D8">
        <w:rPr>
          <w:i/>
          <w:iCs/>
          <w:lang w:val="es-MX"/>
        </w:rPr>
        <w:t>Investigación y análisis de operaciones</w:t>
      </w:r>
      <w:r w:rsidR="008846D8" w:rsidRPr="005B6F67">
        <w:rPr>
          <w:i/>
          <w:iCs/>
          <w:lang w:val="es-MX"/>
        </w:rPr>
        <w:t xml:space="preserve">, </w:t>
      </w:r>
      <w:r w:rsidR="008846D8">
        <w:rPr>
          <w:i/>
          <w:iCs/>
          <w:lang w:val="es-MX"/>
        </w:rPr>
        <w:t>Ingeniería de calidad y confiabilidad,</w:t>
      </w:r>
      <w:r w:rsidR="008846D8" w:rsidRPr="005B6F67">
        <w:rPr>
          <w:i/>
          <w:iCs/>
          <w:lang w:val="es-MX"/>
        </w:rPr>
        <w:t xml:space="preserve"> </w:t>
      </w:r>
      <w:r w:rsidR="008846D8">
        <w:rPr>
          <w:i/>
          <w:iCs/>
          <w:lang w:val="es-MX"/>
        </w:rPr>
        <w:t>Ingeniería de diseño y fabricación</w:t>
      </w:r>
      <w:r w:rsidR="008846D8" w:rsidRPr="005B6F67">
        <w:rPr>
          <w:i/>
          <w:iCs/>
          <w:lang w:val="es-MX"/>
        </w:rPr>
        <w:t xml:space="preserve">, e </w:t>
      </w:r>
      <w:r w:rsidR="008846D8">
        <w:rPr>
          <w:i/>
          <w:iCs/>
          <w:lang w:val="es-MX"/>
        </w:rPr>
        <w:t>Ingeniería y gestión de operaciones</w:t>
      </w:r>
      <w:r w:rsidR="008846D8">
        <w:rPr>
          <w:lang w:val="es-MX"/>
        </w:rPr>
        <w:t xml:space="preserve">. Estas son las 5 áreas del conocimiento con mayor relevancia a nivel nacional. </w:t>
      </w:r>
    </w:p>
    <w:p w14:paraId="238A6B7C" w14:textId="77777777" w:rsidR="00A1701D" w:rsidRDefault="00A1701D" w:rsidP="00F46493">
      <w:pPr>
        <w:spacing w:line="480" w:lineRule="auto"/>
        <w:ind w:firstLine="708"/>
        <w:rPr>
          <w:lang w:val="es-MX"/>
        </w:rPr>
      </w:pPr>
      <w:r>
        <w:rPr>
          <w:lang w:val="es-MX"/>
        </w:rPr>
        <w:t xml:space="preserve">Internacionalmente, la lista la lidera </w:t>
      </w:r>
      <w:r>
        <w:rPr>
          <w:i/>
          <w:iCs/>
          <w:lang w:val="es-MX"/>
        </w:rPr>
        <w:t>Investigación y análisis de operaciones</w:t>
      </w:r>
      <w:r>
        <w:rPr>
          <w:lang w:val="es-MX"/>
        </w:rPr>
        <w:t xml:space="preserve">, </w:t>
      </w:r>
      <w:r>
        <w:rPr>
          <w:i/>
          <w:iCs/>
          <w:lang w:val="es-MX"/>
        </w:rPr>
        <w:t>Ingeniería de diseño y fabricación</w:t>
      </w:r>
      <w:r w:rsidRPr="0053009F">
        <w:rPr>
          <w:i/>
          <w:iCs/>
          <w:lang w:val="es-MX"/>
        </w:rPr>
        <w:t xml:space="preserve">, </w:t>
      </w:r>
      <w:r>
        <w:rPr>
          <w:i/>
          <w:iCs/>
          <w:lang w:val="es-MX"/>
        </w:rPr>
        <w:t>Ingeniería de calidad y confiabilidad</w:t>
      </w:r>
      <w:r>
        <w:rPr>
          <w:lang w:val="es-MX"/>
        </w:rPr>
        <w:t xml:space="preserve">, y </w:t>
      </w:r>
      <w:r>
        <w:rPr>
          <w:i/>
          <w:iCs/>
          <w:lang w:val="es-MX"/>
        </w:rPr>
        <w:t>Análisis económico de ingeniería</w:t>
      </w:r>
      <w:r>
        <w:rPr>
          <w:lang w:val="es-MX"/>
        </w:rPr>
        <w:t xml:space="preserve">. </w:t>
      </w:r>
    </w:p>
    <w:p w14:paraId="6960A53A" w14:textId="32C63CC2" w:rsidR="00A12A19" w:rsidRDefault="004E7134" w:rsidP="00F46493">
      <w:pPr>
        <w:spacing w:line="480" w:lineRule="auto"/>
        <w:ind w:firstLine="708"/>
        <w:rPr>
          <w:lang w:val="es-MX"/>
        </w:rPr>
      </w:pPr>
      <w:r w:rsidRPr="004E7134">
        <w:rPr>
          <w:lang w:val="es-MX"/>
        </w:rPr>
        <w:t>En cuanto al comportamiento en las instituciones nacionales,</w:t>
      </w:r>
      <w:r>
        <w:rPr>
          <w:i/>
          <w:iCs/>
          <w:lang w:val="es-MX"/>
        </w:rPr>
        <w:t xml:space="preserve"> </w:t>
      </w:r>
      <w:r w:rsidR="00F96FF4">
        <w:rPr>
          <w:i/>
          <w:iCs/>
          <w:lang w:val="es-MX"/>
        </w:rPr>
        <w:t>Gestión de ingeniería</w:t>
      </w:r>
      <w:r w:rsidR="00F96FF4">
        <w:rPr>
          <w:lang w:val="es-MX"/>
        </w:rPr>
        <w:t>, la lideran la Universidad ICESI y la Universidad El Bosque con 21 créditos cada una.</w:t>
      </w:r>
      <w:r w:rsidR="00667C8F">
        <w:rPr>
          <w:lang w:val="es-MX"/>
        </w:rPr>
        <w:t xml:space="preserve"> </w:t>
      </w:r>
      <w:r w:rsidR="00A12A19" w:rsidRPr="008A1448">
        <w:rPr>
          <w:lang w:val="es-MX"/>
        </w:rPr>
        <w:t>En relación con</w:t>
      </w:r>
      <w:r w:rsidR="00A12A19">
        <w:rPr>
          <w:i/>
          <w:iCs/>
          <w:lang w:val="es-MX"/>
        </w:rPr>
        <w:t xml:space="preserve"> Análisis económico</w:t>
      </w:r>
      <w:r w:rsidR="00A12A19" w:rsidRPr="003D4BEE">
        <w:rPr>
          <w:i/>
          <w:iCs/>
          <w:lang w:val="es-MX"/>
        </w:rPr>
        <w:t xml:space="preserve"> de la Ingeniería</w:t>
      </w:r>
      <w:r w:rsidR="00A12A19">
        <w:rPr>
          <w:i/>
          <w:iCs/>
          <w:lang w:val="es-MX"/>
        </w:rPr>
        <w:t>,</w:t>
      </w:r>
      <w:r w:rsidR="00A12A19">
        <w:rPr>
          <w:lang w:val="es-MX"/>
        </w:rPr>
        <w:t xml:space="preserve"> es liderada por la Universidad de Medellín</w:t>
      </w:r>
      <w:r w:rsidR="00427037">
        <w:rPr>
          <w:lang w:val="es-MX"/>
        </w:rPr>
        <w:t xml:space="preserve"> (16 créditos)</w:t>
      </w:r>
      <w:r w:rsidR="00A12A19">
        <w:rPr>
          <w:lang w:val="es-MX"/>
        </w:rPr>
        <w:t xml:space="preserve">, </w:t>
      </w:r>
      <w:r w:rsidR="00A12A19">
        <w:rPr>
          <w:i/>
          <w:iCs/>
          <w:lang w:val="es-MX"/>
        </w:rPr>
        <w:t>Investigación y análisis de operaciones</w:t>
      </w:r>
      <w:r w:rsidR="00A12A19">
        <w:rPr>
          <w:lang w:val="es-MX"/>
        </w:rPr>
        <w:t xml:space="preserve"> por la Universidad de los Andes y la Universidad Nacional de Colombia</w:t>
      </w:r>
      <w:r w:rsidR="00427037">
        <w:rPr>
          <w:lang w:val="es-MX"/>
        </w:rPr>
        <w:t xml:space="preserve"> (15 créditos c/u)</w:t>
      </w:r>
      <w:r w:rsidR="00A12A19">
        <w:rPr>
          <w:lang w:val="es-MX"/>
        </w:rPr>
        <w:t xml:space="preserve">, </w:t>
      </w:r>
      <w:r w:rsidR="00A12A19">
        <w:rPr>
          <w:i/>
          <w:iCs/>
          <w:lang w:val="es-MX"/>
        </w:rPr>
        <w:t>Ingeniería de calidad y confiabilidad</w:t>
      </w:r>
      <w:r w:rsidR="00A12A19">
        <w:rPr>
          <w:lang w:val="es-MX"/>
        </w:rPr>
        <w:t xml:space="preserve"> por la Universidad de la Salle</w:t>
      </w:r>
      <w:r w:rsidR="00F92F2F">
        <w:rPr>
          <w:lang w:val="es-MX"/>
        </w:rPr>
        <w:t xml:space="preserve"> (15 créditos)</w:t>
      </w:r>
      <w:r w:rsidR="00A12A19">
        <w:rPr>
          <w:lang w:val="es-MX"/>
        </w:rPr>
        <w:t xml:space="preserve">, </w:t>
      </w:r>
      <w:r w:rsidR="00A12A19">
        <w:rPr>
          <w:i/>
          <w:iCs/>
          <w:lang w:val="es-MX"/>
        </w:rPr>
        <w:t>Ingeniería de diseño y fabricación</w:t>
      </w:r>
      <w:r w:rsidR="00A12A19">
        <w:rPr>
          <w:lang w:val="es-MX"/>
        </w:rPr>
        <w:t xml:space="preserve"> por la Pontific</w:t>
      </w:r>
      <w:r w:rsidR="00B867C3">
        <w:rPr>
          <w:lang w:val="es-MX"/>
        </w:rPr>
        <w:t>i</w:t>
      </w:r>
      <w:r w:rsidR="00A12A19">
        <w:rPr>
          <w:lang w:val="es-MX"/>
        </w:rPr>
        <w:t>a Universidad Javeriana</w:t>
      </w:r>
      <w:r w:rsidR="009544AE">
        <w:rPr>
          <w:lang w:val="es-MX"/>
        </w:rPr>
        <w:t xml:space="preserve"> (14 créditos)</w:t>
      </w:r>
      <w:r w:rsidR="00A12A19">
        <w:rPr>
          <w:lang w:val="es-MX"/>
        </w:rPr>
        <w:t xml:space="preserve">, e </w:t>
      </w:r>
      <w:r w:rsidR="00A12A19">
        <w:rPr>
          <w:i/>
          <w:iCs/>
          <w:lang w:val="es-MX"/>
        </w:rPr>
        <w:t>Ingeniería y gestión de operaciones</w:t>
      </w:r>
      <w:r w:rsidR="00A12A19">
        <w:rPr>
          <w:lang w:val="es-MX"/>
        </w:rPr>
        <w:t xml:space="preserve"> por la Universidad ICESI y Universidad de Medellín</w:t>
      </w:r>
      <w:r w:rsidR="00EF16AC">
        <w:rPr>
          <w:lang w:val="es-MX"/>
        </w:rPr>
        <w:t xml:space="preserve"> (12 créditos c/u)</w:t>
      </w:r>
      <w:r w:rsidR="00A12A19">
        <w:rPr>
          <w:lang w:val="es-MX"/>
        </w:rPr>
        <w:t xml:space="preserve">. </w:t>
      </w:r>
    </w:p>
    <w:p w14:paraId="3AE94F0D" w14:textId="3DBFE4E4" w:rsidR="00A1701D" w:rsidRDefault="00597B76" w:rsidP="00F46493">
      <w:pPr>
        <w:spacing w:line="480" w:lineRule="auto"/>
        <w:ind w:firstLine="708"/>
        <w:rPr>
          <w:lang w:val="es-MX"/>
        </w:rPr>
      </w:pPr>
      <w:r>
        <w:rPr>
          <w:lang w:val="es-MX"/>
        </w:rPr>
        <w:lastRenderedPageBreak/>
        <w:t xml:space="preserve">Por otra parte, </w:t>
      </w:r>
      <w:r>
        <w:rPr>
          <w:i/>
          <w:iCs/>
          <w:lang w:val="es-MX"/>
        </w:rPr>
        <w:t>Diseño e ingeniería de sistemas</w:t>
      </w:r>
      <w:r>
        <w:rPr>
          <w:lang w:val="es-MX"/>
        </w:rPr>
        <w:t xml:space="preserve"> es el área la cual menos asignaturas clasifica en Colombia, seguida de </w:t>
      </w:r>
      <w:r>
        <w:rPr>
          <w:i/>
          <w:iCs/>
          <w:lang w:val="es-MX"/>
        </w:rPr>
        <w:t>Ergonomía y factores humanos</w:t>
      </w:r>
      <w:r w:rsidRPr="003D4BEE">
        <w:rPr>
          <w:i/>
          <w:iCs/>
          <w:lang w:val="es-MX"/>
        </w:rPr>
        <w:t xml:space="preserve">, Diseño y desarrollo de productos, </w:t>
      </w:r>
      <w:r>
        <w:rPr>
          <w:i/>
          <w:iCs/>
          <w:lang w:val="es-MX"/>
        </w:rPr>
        <w:t xml:space="preserve">Ingeniería de la información </w:t>
      </w:r>
      <w:r w:rsidRPr="007D168A">
        <w:rPr>
          <w:lang w:val="es-MX"/>
        </w:rPr>
        <w:t>y</w:t>
      </w:r>
      <w:r w:rsidRPr="003D4BEE">
        <w:rPr>
          <w:i/>
          <w:iCs/>
          <w:lang w:val="es-MX"/>
        </w:rPr>
        <w:t xml:space="preserve"> Seguridad</w:t>
      </w:r>
      <w:r>
        <w:rPr>
          <w:lang w:val="es-MX"/>
        </w:rPr>
        <w:t xml:space="preserve">. </w:t>
      </w:r>
    </w:p>
    <w:p w14:paraId="38133254" w14:textId="2ED7F468" w:rsidR="00BB4569" w:rsidRDefault="00BB4569" w:rsidP="00F46493">
      <w:pPr>
        <w:spacing w:line="480" w:lineRule="auto"/>
        <w:ind w:firstLine="708"/>
        <w:rPr>
          <w:lang w:val="es-MX"/>
        </w:rPr>
      </w:pPr>
      <w:r>
        <w:rPr>
          <w:lang w:val="es-MX"/>
        </w:rPr>
        <w:t xml:space="preserve">Universidades internacionales como Columbia University obtienen mayores créditos en el área de </w:t>
      </w:r>
      <w:r>
        <w:rPr>
          <w:i/>
          <w:iCs/>
          <w:lang w:val="es-MX"/>
        </w:rPr>
        <w:t>Investigación y análisis de operaciones</w:t>
      </w:r>
      <w:r>
        <w:rPr>
          <w:lang w:val="es-MX"/>
        </w:rPr>
        <w:t xml:space="preserve">, al igual que la Universidad de Michigan, la Universidad de California, la Universidad </w:t>
      </w:r>
      <w:proofErr w:type="spellStart"/>
      <w:r w:rsidRPr="0060459C">
        <w:rPr>
          <w:lang w:val="es-MX"/>
        </w:rPr>
        <w:t>Shanghai</w:t>
      </w:r>
      <w:proofErr w:type="spellEnd"/>
      <w:r w:rsidRPr="0060459C">
        <w:rPr>
          <w:lang w:val="es-MX"/>
        </w:rPr>
        <w:t xml:space="preserve"> </w:t>
      </w:r>
      <w:proofErr w:type="spellStart"/>
      <w:r w:rsidRPr="0060459C">
        <w:rPr>
          <w:lang w:val="es-MX"/>
        </w:rPr>
        <w:t>Jiao</w:t>
      </w:r>
      <w:proofErr w:type="spellEnd"/>
      <w:r w:rsidRPr="0060459C">
        <w:rPr>
          <w:lang w:val="es-MX"/>
        </w:rPr>
        <w:t xml:space="preserve"> </w:t>
      </w:r>
      <w:proofErr w:type="spellStart"/>
      <w:r w:rsidRPr="0060459C">
        <w:rPr>
          <w:lang w:val="es-MX"/>
        </w:rPr>
        <w:t>Tong</w:t>
      </w:r>
      <w:proofErr w:type="spellEnd"/>
      <w:r>
        <w:rPr>
          <w:lang w:val="es-MX"/>
        </w:rPr>
        <w:t xml:space="preserve">, </w:t>
      </w:r>
      <w:r w:rsidRPr="001732BD">
        <w:rPr>
          <w:lang w:val="es-MX"/>
        </w:rPr>
        <w:t xml:space="preserve">Pennsylvania </w:t>
      </w:r>
      <w:proofErr w:type="spellStart"/>
      <w:r w:rsidRPr="001732BD">
        <w:rPr>
          <w:lang w:val="es-MX"/>
        </w:rPr>
        <w:t>State</w:t>
      </w:r>
      <w:proofErr w:type="spellEnd"/>
      <w:r w:rsidRPr="001732BD">
        <w:rPr>
          <w:lang w:val="es-MX"/>
        </w:rPr>
        <w:t xml:space="preserve"> University</w:t>
      </w:r>
      <w:r>
        <w:rPr>
          <w:lang w:val="es-MX"/>
        </w:rPr>
        <w:t xml:space="preserve">, la Universidad de </w:t>
      </w:r>
      <w:proofErr w:type="spellStart"/>
      <w:r>
        <w:rPr>
          <w:lang w:val="es-MX"/>
        </w:rPr>
        <w:t>Illionis</w:t>
      </w:r>
      <w:proofErr w:type="spellEnd"/>
      <w:r>
        <w:rPr>
          <w:lang w:val="es-MX"/>
        </w:rPr>
        <w:t xml:space="preserve"> y la Universidad de Arizona, es decir, el 43,75% de las universidades internacionales estudiadas, </w:t>
      </w:r>
      <w:r w:rsidR="00B610D6">
        <w:rPr>
          <w:lang w:val="es-MX"/>
        </w:rPr>
        <w:t xml:space="preserve">dirigen </w:t>
      </w:r>
      <w:r>
        <w:rPr>
          <w:lang w:val="es-MX"/>
        </w:rPr>
        <w:t xml:space="preserve">su mayor porcentaje de créditos </w:t>
      </w:r>
      <w:r w:rsidR="006C5962">
        <w:rPr>
          <w:lang w:val="es-MX"/>
        </w:rPr>
        <w:t>a</w:t>
      </w:r>
      <w:r>
        <w:rPr>
          <w:lang w:val="es-MX"/>
        </w:rPr>
        <w:t>l campo</w:t>
      </w:r>
      <w:r w:rsidR="00B610D6">
        <w:rPr>
          <w:lang w:val="es-MX"/>
        </w:rPr>
        <w:t xml:space="preserve"> </w:t>
      </w:r>
      <w:r w:rsidR="006C5962">
        <w:rPr>
          <w:lang w:val="es-MX"/>
        </w:rPr>
        <w:t>de</w:t>
      </w:r>
      <w:r>
        <w:rPr>
          <w:lang w:val="es-MX"/>
        </w:rPr>
        <w:t xml:space="preserve"> la optimización. </w:t>
      </w:r>
    </w:p>
    <w:p w14:paraId="05BCD3BA" w14:textId="6CEE7BB8" w:rsidR="00BB4569" w:rsidRDefault="00991326" w:rsidP="00F46493">
      <w:pPr>
        <w:spacing w:line="480" w:lineRule="auto"/>
        <w:ind w:firstLine="708"/>
        <w:rPr>
          <w:lang w:val="es-MX"/>
        </w:rPr>
      </w:pPr>
      <w:r>
        <w:rPr>
          <w:lang w:val="es-MX"/>
        </w:rPr>
        <w:t xml:space="preserve">En cuanto a la Universidad de Buenos Aires, se orienta hacia la </w:t>
      </w:r>
      <w:r>
        <w:rPr>
          <w:i/>
          <w:iCs/>
          <w:lang w:val="es-MX"/>
        </w:rPr>
        <w:t>Ingeniería de diseño y fabricación</w:t>
      </w:r>
      <w:r>
        <w:rPr>
          <w:lang w:val="es-MX"/>
        </w:rPr>
        <w:t>, al igual que la Universidad Nacional Autónoma de México, Purdue University, la University of Groningen y la Universidad de Rutgers.</w:t>
      </w:r>
    </w:p>
    <w:p w14:paraId="6E2540EA" w14:textId="6A4BA849" w:rsidR="00F46493" w:rsidRDefault="00AA2634" w:rsidP="00E72830">
      <w:pPr>
        <w:spacing w:line="480" w:lineRule="auto"/>
        <w:ind w:firstLine="708"/>
        <w:rPr>
          <w:lang w:val="es-MX"/>
        </w:rPr>
      </w:pPr>
      <w:r>
        <w:rPr>
          <w:lang w:val="es-MX"/>
        </w:rPr>
        <w:t xml:space="preserve">La Universidad de Florida se </w:t>
      </w:r>
      <w:r w:rsidR="00A81A78">
        <w:rPr>
          <w:lang w:val="es-MX"/>
        </w:rPr>
        <w:t>enfatiza</w:t>
      </w:r>
      <w:r>
        <w:rPr>
          <w:lang w:val="es-MX"/>
        </w:rPr>
        <w:t xml:space="preserve"> </w:t>
      </w:r>
      <w:r w:rsidR="00A81A78">
        <w:rPr>
          <w:lang w:val="es-MX"/>
        </w:rPr>
        <w:t>en</w:t>
      </w:r>
      <w:r>
        <w:rPr>
          <w:lang w:val="es-MX"/>
        </w:rPr>
        <w:t xml:space="preserve"> </w:t>
      </w:r>
      <w:r>
        <w:rPr>
          <w:i/>
          <w:iCs/>
          <w:lang w:val="es-MX"/>
        </w:rPr>
        <w:t>Análisis económico</w:t>
      </w:r>
      <w:r w:rsidRPr="00100008">
        <w:rPr>
          <w:i/>
          <w:iCs/>
          <w:lang w:val="es-MX"/>
        </w:rPr>
        <w:t xml:space="preserve"> de la Ingeniería</w:t>
      </w:r>
      <w:r>
        <w:rPr>
          <w:lang w:val="es-MX"/>
        </w:rPr>
        <w:t xml:space="preserve">. La Universidad de Columbia, la Universidad de Michigan y la Universidad de California, son 3 de las universidades mejor clasificadas a nivel mundial en los rankings, pero ninguna de ellas ofrece créditos hacia la </w:t>
      </w:r>
      <w:r w:rsidRPr="00242E1D">
        <w:rPr>
          <w:i/>
          <w:iCs/>
          <w:lang w:val="es-MX"/>
        </w:rPr>
        <w:t>Ingeniería de fabricación</w:t>
      </w:r>
      <w:r>
        <w:rPr>
          <w:lang w:val="es-MX"/>
        </w:rPr>
        <w:t xml:space="preserve">. Estas se direccionan hacia áreas de análisis de operaciones y confiabilidad. </w:t>
      </w:r>
    </w:p>
    <w:p w14:paraId="4EB1C930" w14:textId="140450E9" w:rsidR="005542F0" w:rsidRPr="00793F0B" w:rsidRDefault="004A6AB1" w:rsidP="003A7FDB">
      <w:pPr>
        <w:spacing w:line="480" w:lineRule="auto"/>
        <w:ind w:firstLine="708"/>
        <w:rPr>
          <w:lang w:val="es-MX"/>
        </w:rPr>
      </w:pPr>
      <w:r>
        <w:rPr>
          <w:lang w:val="es-MX"/>
        </w:rPr>
        <w:t xml:space="preserve">Lo anterior, llega a reafirmar </w:t>
      </w:r>
      <w:r w:rsidRPr="00065696">
        <w:rPr>
          <w:lang w:val="es-MX"/>
        </w:rPr>
        <w:t xml:space="preserve">que el programa de Ingeniería Industrial, a nivel mundial, es una </w:t>
      </w:r>
      <w:r>
        <w:rPr>
          <w:lang w:val="es-MX"/>
        </w:rPr>
        <w:t>i</w:t>
      </w:r>
      <w:r w:rsidRPr="00065696">
        <w:rPr>
          <w:lang w:val="es-MX"/>
        </w:rPr>
        <w:t xml:space="preserve">ngeniería </w:t>
      </w:r>
      <w:r>
        <w:rPr>
          <w:lang w:val="es-MX"/>
        </w:rPr>
        <w:t>m</w:t>
      </w:r>
      <w:r w:rsidRPr="00065696">
        <w:rPr>
          <w:lang w:val="es-MX"/>
        </w:rPr>
        <w:t>ultidisciplinaria</w:t>
      </w:r>
      <w:r>
        <w:rPr>
          <w:lang w:val="es-MX"/>
        </w:rPr>
        <w:t xml:space="preserve"> pues se tienen diferentes líneas de profundización en cada uno de los planes de estudio.</w:t>
      </w:r>
    </w:p>
    <w:p w14:paraId="6D17244C" w14:textId="77777777" w:rsidR="005542F0" w:rsidRDefault="005542F0" w:rsidP="00C80543">
      <w:pPr>
        <w:spacing w:line="360" w:lineRule="auto"/>
        <w:jc w:val="both"/>
        <w:rPr>
          <w:b/>
          <w:bCs/>
          <w:lang w:val="es-MX"/>
        </w:rPr>
      </w:pPr>
    </w:p>
    <w:p w14:paraId="4DAA05C3" w14:textId="0162E76E" w:rsidR="003814AB" w:rsidRDefault="003814AB" w:rsidP="00C80543">
      <w:pPr>
        <w:spacing w:line="360" w:lineRule="auto"/>
        <w:jc w:val="both"/>
        <w:rPr>
          <w:b/>
          <w:bCs/>
          <w:lang w:val="es-MX"/>
        </w:rPr>
      </w:pPr>
      <w:r>
        <w:rPr>
          <w:b/>
          <w:bCs/>
          <w:lang w:val="es-MX"/>
        </w:rPr>
        <w:t xml:space="preserve">Análisis por enfoque </w:t>
      </w:r>
      <w:r w:rsidR="005834C4">
        <w:rPr>
          <w:b/>
          <w:bCs/>
          <w:lang w:val="es-MX"/>
        </w:rPr>
        <w:t xml:space="preserve">- Prueba </w:t>
      </w:r>
      <w:r>
        <w:rPr>
          <w:b/>
          <w:bCs/>
          <w:lang w:val="es-MX"/>
        </w:rPr>
        <w:t>Games-Howell</w:t>
      </w:r>
    </w:p>
    <w:p w14:paraId="7976CD0D" w14:textId="77777777" w:rsidR="005951F1" w:rsidRDefault="005951F1" w:rsidP="00F46493">
      <w:pPr>
        <w:spacing w:line="360" w:lineRule="auto"/>
        <w:rPr>
          <w:b/>
          <w:bCs/>
          <w:lang w:val="es-MX"/>
        </w:rPr>
      </w:pPr>
    </w:p>
    <w:p w14:paraId="3FF0B42C" w14:textId="77777777" w:rsidR="008D1B07" w:rsidRDefault="008D1B07" w:rsidP="00F46493">
      <w:pPr>
        <w:spacing w:line="480" w:lineRule="auto"/>
        <w:ind w:firstLine="708"/>
        <w:rPr>
          <w:lang w:val="es-MX"/>
        </w:rPr>
      </w:pPr>
      <w:r>
        <w:rPr>
          <w:lang w:val="es-MX"/>
        </w:rPr>
        <w:t xml:space="preserve">Para verificar estadísticamente los resultados encontrados, se utiliza la prueba de Games-Howell con el fin de identificar si existe algún tipo de enfoque específico hacia </w:t>
      </w:r>
      <w:r>
        <w:rPr>
          <w:lang w:val="es-MX"/>
        </w:rPr>
        <w:lastRenderedPageBreak/>
        <w:t>alguna área o áreas en particular. Esta prueba maneja las siguientes hipótesis, las cuales fueron analizadas en el software Minitab:</w:t>
      </w:r>
    </w:p>
    <w:p w14:paraId="103CDFB8" w14:textId="77777777" w:rsidR="008D1B07" w:rsidRPr="002360A4" w:rsidRDefault="008D1B07" w:rsidP="00F46493">
      <w:pPr>
        <w:spacing w:line="480" w:lineRule="auto"/>
        <w:rPr>
          <w:lang w:val="es-MX"/>
        </w:rPr>
      </w:pPr>
      <w:r w:rsidRPr="002360A4">
        <w:rPr>
          <w:lang w:val="es-MX"/>
        </w:rPr>
        <w:t>Hipótesis nula: Todas las medias son iguales</w:t>
      </w:r>
    </w:p>
    <w:p w14:paraId="0A5F4042" w14:textId="77777777" w:rsidR="008D1B07" w:rsidRPr="002360A4" w:rsidRDefault="008D1B07" w:rsidP="00F46493">
      <w:pPr>
        <w:spacing w:line="480" w:lineRule="auto"/>
        <w:rPr>
          <w:lang w:val="es-MX"/>
        </w:rPr>
      </w:pPr>
      <w:r w:rsidRPr="002360A4">
        <w:rPr>
          <w:lang w:val="es-MX"/>
        </w:rPr>
        <w:t>Hipótesis alterna</w:t>
      </w:r>
      <w:r>
        <w:rPr>
          <w:lang w:val="es-MX"/>
        </w:rPr>
        <w:t>tiva</w:t>
      </w:r>
      <w:r w:rsidRPr="002360A4">
        <w:rPr>
          <w:lang w:val="es-MX"/>
        </w:rPr>
        <w:t>: No todas las medias son iguales</w:t>
      </w:r>
    </w:p>
    <w:p w14:paraId="0330D01D" w14:textId="77777777" w:rsidR="008D1B07" w:rsidRPr="002360A4" w:rsidRDefault="008D1B07" w:rsidP="00F46493">
      <w:pPr>
        <w:spacing w:line="480" w:lineRule="auto"/>
        <w:rPr>
          <w:lang w:val="es-MX"/>
        </w:rPr>
      </w:pPr>
      <w:r w:rsidRPr="002360A4">
        <w:rPr>
          <w:lang w:val="es-MX"/>
        </w:rPr>
        <w:t xml:space="preserve">Nivel de significancia: </w:t>
      </w:r>
      <w:r w:rsidRPr="002360A4">
        <w:rPr>
          <w:color w:val="000000"/>
        </w:rPr>
        <w:t>α = 0,05</w:t>
      </w:r>
    </w:p>
    <w:p w14:paraId="73E594E5" w14:textId="06620D8B" w:rsidR="003814AB" w:rsidRDefault="00A97DA1" w:rsidP="00F46493">
      <w:pPr>
        <w:spacing w:line="480" w:lineRule="auto"/>
        <w:rPr>
          <w:lang w:val="es-MX"/>
        </w:rPr>
      </w:pPr>
      <w:r>
        <w:rPr>
          <w:lang w:val="es-MX"/>
        </w:rPr>
        <w:t>Esta prueba tiene como supuesto</w:t>
      </w:r>
      <w:r w:rsidR="008D1B07" w:rsidRPr="002360A4">
        <w:rPr>
          <w:lang w:val="es-MX"/>
        </w:rPr>
        <w:t xml:space="preserve"> la no igualdad de varianzas</w:t>
      </w:r>
      <w:r w:rsidR="008D1B07">
        <w:rPr>
          <w:lang w:val="es-MX"/>
        </w:rPr>
        <w:t>.</w:t>
      </w:r>
    </w:p>
    <w:p w14:paraId="6008BF90" w14:textId="0D9A41E8" w:rsidR="00E059C3" w:rsidRPr="00B9085E" w:rsidRDefault="00E059C3" w:rsidP="00F46493">
      <w:pPr>
        <w:spacing w:line="480" w:lineRule="auto"/>
        <w:ind w:firstLine="708"/>
        <w:rPr>
          <w:lang w:val="es-MX"/>
        </w:rPr>
      </w:pPr>
      <w:r>
        <w:rPr>
          <w:lang w:val="es-MX"/>
        </w:rPr>
        <w:t xml:space="preserve">En la Figura </w:t>
      </w:r>
      <w:r w:rsidR="006126FB">
        <w:rPr>
          <w:lang w:val="es-MX"/>
        </w:rPr>
        <w:t>2</w:t>
      </w:r>
      <w:r>
        <w:rPr>
          <w:lang w:val="es-MX"/>
        </w:rPr>
        <w:t xml:space="preserve"> se observan los 14 factores agrupados por letras, de los cuales, las medias de cada factor que no comparten una letra son significativamente diferentes, de lo cual, se contempla una clara diferenciación entre áreas de Producción, Análisis económico y Gestión de ingeniería de todas las demás, ya que en la letra A se observa una media alta con respecto a las otras, llegando a encontrarse un enfoque multidisciplinario, pero enfocado particularmente en las áreas de dicho grupo.</w:t>
      </w:r>
    </w:p>
    <w:p w14:paraId="1A0BFBBF" w14:textId="18EF4856" w:rsidR="00C80543" w:rsidRDefault="00C80543" w:rsidP="00856CFA">
      <w:pPr>
        <w:spacing w:line="480" w:lineRule="auto"/>
        <w:jc w:val="both"/>
        <w:rPr>
          <w:b/>
          <w:bCs/>
          <w:lang w:val="es-MX"/>
        </w:rPr>
      </w:pPr>
      <w:r w:rsidRPr="001931BF">
        <w:rPr>
          <w:b/>
          <w:bCs/>
          <w:lang w:val="es-MX"/>
        </w:rPr>
        <w:t xml:space="preserve">Figura </w:t>
      </w:r>
      <w:r w:rsidR="006126FB">
        <w:rPr>
          <w:b/>
          <w:bCs/>
          <w:lang w:val="es-MX"/>
        </w:rPr>
        <w:t>2</w:t>
      </w:r>
      <w:r w:rsidRPr="001931BF">
        <w:rPr>
          <w:b/>
          <w:bCs/>
          <w:lang w:val="es-MX"/>
        </w:rPr>
        <w:t>.</w:t>
      </w:r>
    </w:p>
    <w:p w14:paraId="58C599BA" w14:textId="77777777" w:rsidR="00C80543" w:rsidRPr="00CB0BEB" w:rsidRDefault="00C80543" w:rsidP="00C80543">
      <w:pPr>
        <w:spacing w:line="360" w:lineRule="auto"/>
        <w:jc w:val="both"/>
        <w:rPr>
          <w:i/>
          <w:iCs/>
          <w:lang w:val="es-MX"/>
        </w:rPr>
      </w:pPr>
      <w:r w:rsidRPr="00CB0BEB">
        <w:rPr>
          <w:i/>
          <w:iCs/>
          <w:lang w:val="es-MX"/>
        </w:rPr>
        <w:t xml:space="preserve">Resultados análisis Games-Howell </w:t>
      </w:r>
      <w:r>
        <w:rPr>
          <w:i/>
          <w:iCs/>
          <w:lang w:val="es-MX"/>
        </w:rPr>
        <w:t>– Nivel general</w:t>
      </w:r>
    </w:p>
    <w:p w14:paraId="2FA753C5" w14:textId="06232E54" w:rsidR="00C80543" w:rsidRDefault="00C80543" w:rsidP="00C80543">
      <w:pPr>
        <w:jc w:val="center"/>
        <w:rPr>
          <w:lang w:val="es-MX"/>
        </w:rPr>
      </w:pPr>
      <w:r>
        <w:rPr>
          <w:noProof/>
        </w:rPr>
        <w:drawing>
          <wp:inline distT="0" distB="0" distL="0" distR="0" wp14:anchorId="1F17A56F" wp14:editId="37E71A5F">
            <wp:extent cx="3204170" cy="229552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209526" cy="2299362"/>
                    </a:xfrm>
                    <a:prstGeom prst="rect">
                      <a:avLst/>
                    </a:prstGeom>
                  </pic:spPr>
                </pic:pic>
              </a:graphicData>
            </a:graphic>
          </wp:inline>
        </w:drawing>
      </w:r>
    </w:p>
    <w:p w14:paraId="0EB507A3" w14:textId="2FFB4F3B" w:rsidR="00034BB2" w:rsidRDefault="00034BB2" w:rsidP="00F46493">
      <w:pPr>
        <w:rPr>
          <w:lang w:val="es-MX"/>
        </w:rPr>
      </w:pPr>
      <w:r w:rsidRPr="00896CA9">
        <w:rPr>
          <w:rFonts w:ascii="TimesNewRomanPSMT" w:eastAsia="TimesNewRomanPSMT" w:hAnsi="TimesNewRomanPSMT" w:cs="TimesNewRomanPSMT"/>
          <w:b/>
          <w:bCs/>
          <w:sz w:val="20"/>
          <w:lang w:val="es-CO" w:eastAsia="es-ES_tradnl"/>
        </w:rPr>
        <w:t xml:space="preserve">Fuente: </w:t>
      </w:r>
      <w:r>
        <w:rPr>
          <w:rFonts w:eastAsia="TimesNewRomanPSMT"/>
          <w:bCs/>
          <w:iCs/>
          <w:sz w:val="20"/>
          <w:szCs w:val="20"/>
          <w:lang w:eastAsia="es-ES_tradnl"/>
        </w:rPr>
        <w:t>Elaboración propia a partir de datos procesados en Minitab.</w:t>
      </w:r>
    </w:p>
    <w:p w14:paraId="7A65E43E" w14:textId="332CFBAB" w:rsidR="00C80543" w:rsidRDefault="00C80543" w:rsidP="00F46493">
      <w:pPr>
        <w:rPr>
          <w:rFonts w:ascii="system-ui" w:hAnsi="system-ui" w:cs="system-ui"/>
          <w:i/>
          <w:iCs/>
          <w:color w:val="000000"/>
          <w:sz w:val="20"/>
          <w:szCs w:val="20"/>
        </w:rPr>
      </w:pPr>
      <w:r w:rsidRPr="009E7264">
        <w:rPr>
          <w:rFonts w:ascii="system-ui" w:hAnsi="system-ui" w:cs="system-ui"/>
          <w:i/>
          <w:iCs/>
          <w:color w:val="000000"/>
          <w:sz w:val="20"/>
          <w:szCs w:val="20"/>
        </w:rPr>
        <w:t>Nota:</w:t>
      </w:r>
      <w:r>
        <w:rPr>
          <w:rFonts w:ascii="system-ui" w:hAnsi="system-ui" w:cs="system-ui"/>
          <w:i/>
          <w:iCs/>
          <w:color w:val="000000"/>
          <w:sz w:val="20"/>
          <w:szCs w:val="20"/>
        </w:rPr>
        <w:t xml:space="preserve"> </w:t>
      </w:r>
      <w:r w:rsidRPr="00034BB2">
        <w:rPr>
          <w:rFonts w:ascii="TimesNewRomanPSMT" w:eastAsia="TimesNewRomanPSMT" w:hAnsi="TimesNewRomanPSMT" w:cs="TimesNewRomanPSMT"/>
          <w:sz w:val="20"/>
          <w:lang w:val="es-CO" w:eastAsia="es-ES_tradnl"/>
        </w:rPr>
        <w:t>N es el número de universidades u observaciones analizadas</w:t>
      </w:r>
      <w:r w:rsidRPr="009E7264">
        <w:rPr>
          <w:rFonts w:ascii="system-ui" w:hAnsi="system-ui" w:cs="system-ui"/>
          <w:i/>
          <w:iCs/>
          <w:color w:val="000000"/>
          <w:sz w:val="20"/>
          <w:szCs w:val="20"/>
        </w:rPr>
        <w:t>.</w:t>
      </w:r>
    </w:p>
    <w:p w14:paraId="1004C528" w14:textId="77777777" w:rsidR="00166002" w:rsidRDefault="00166002" w:rsidP="00C80543">
      <w:pPr>
        <w:spacing w:line="480" w:lineRule="auto"/>
        <w:rPr>
          <w:b/>
          <w:bCs/>
          <w:color w:val="000000" w:themeColor="text1"/>
        </w:rPr>
      </w:pPr>
    </w:p>
    <w:p w14:paraId="0F808F31" w14:textId="77777777" w:rsidR="00E85B46" w:rsidRDefault="00E85B46" w:rsidP="00C80543">
      <w:pPr>
        <w:spacing w:line="480" w:lineRule="auto"/>
        <w:rPr>
          <w:b/>
          <w:bCs/>
          <w:color w:val="000000" w:themeColor="text1"/>
        </w:rPr>
      </w:pPr>
    </w:p>
    <w:p w14:paraId="3317295C" w14:textId="77777777" w:rsidR="00E85B46" w:rsidRDefault="00E85B46" w:rsidP="00C80543">
      <w:pPr>
        <w:spacing w:line="480" w:lineRule="auto"/>
        <w:rPr>
          <w:b/>
          <w:bCs/>
          <w:color w:val="000000" w:themeColor="text1"/>
        </w:rPr>
      </w:pPr>
    </w:p>
    <w:p w14:paraId="7A76D5E5" w14:textId="520208C4" w:rsidR="00011B84" w:rsidRDefault="00D82E21" w:rsidP="00C80543">
      <w:pPr>
        <w:spacing w:line="480" w:lineRule="auto"/>
        <w:rPr>
          <w:b/>
          <w:bCs/>
          <w:color w:val="000000" w:themeColor="text1"/>
        </w:rPr>
      </w:pPr>
      <w:r>
        <w:rPr>
          <w:b/>
          <w:bCs/>
          <w:color w:val="000000" w:themeColor="text1"/>
        </w:rPr>
        <w:lastRenderedPageBreak/>
        <w:t>Análisis de clúster</w:t>
      </w:r>
    </w:p>
    <w:p w14:paraId="7470C792" w14:textId="3305BDED" w:rsidR="00011B84" w:rsidRPr="00011B84" w:rsidRDefault="00011B84" w:rsidP="00011B84">
      <w:pPr>
        <w:spacing w:line="480" w:lineRule="auto"/>
        <w:ind w:firstLine="708"/>
        <w:rPr>
          <w:color w:val="000000" w:themeColor="text1"/>
        </w:rPr>
      </w:pPr>
      <w:r>
        <w:rPr>
          <w:color w:val="000000" w:themeColor="text1"/>
        </w:rPr>
        <w:t>Agregando a lo anterior, se desarrolla un análisis de conglomerados o clúster, con el fin de encontrar los grupos de universidades que tienden a parecerse entre sí por la clasificación de sus créditos.</w:t>
      </w:r>
    </w:p>
    <w:p w14:paraId="653C98C9" w14:textId="222B70F9" w:rsidR="0058602E" w:rsidRDefault="00274F4E" w:rsidP="000B5D3E">
      <w:pPr>
        <w:spacing w:line="480" w:lineRule="auto"/>
        <w:ind w:firstLine="708"/>
        <w:jc w:val="both"/>
        <w:rPr>
          <w:lang w:val="es-MX"/>
        </w:rPr>
      </w:pPr>
      <w:r>
        <w:rPr>
          <w:lang w:val="es-MX"/>
        </w:rPr>
        <w:t xml:space="preserve">En primer lugar, se realiza una prueba de validación en el cual se halla el número óptimo de </w:t>
      </w:r>
      <w:r w:rsidRPr="00253EC4">
        <w:rPr>
          <w:i/>
          <w:iCs/>
          <w:lang w:val="es-MX"/>
        </w:rPr>
        <w:t>k</w:t>
      </w:r>
      <w:r>
        <w:rPr>
          <w:lang w:val="es-MX"/>
        </w:rPr>
        <w:t xml:space="preserve"> clústeres, </w:t>
      </w:r>
      <w:r w:rsidR="001E5C82">
        <w:rPr>
          <w:lang w:val="es-MX"/>
        </w:rPr>
        <w:t xml:space="preserve">para lo cual se utiliza </w:t>
      </w:r>
      <w:r>
        <w:rPr>
          <w:lang w:val="es-MX"/>
        </w:rPr>
        <w:t>el método del codo (</w:t>
      </w:r>
      <w:proofErr w:type="spellStart"/>
      <w:r>
        <w:rPr>
          <w:lang w:val="es-MX"/>
        </w:rPr>
        <w:t>Elbow</w:t>
      </w:r>
      <w:proofErr w:type="spellEnd"/>
      <w:r>
        <w:rPr>
          <w:lang w:val="es-MX"/>
        </w:rPr>
        <w:t xml:space="preserve"> </w:t>
      </w:r>
      <w:proofErr w:type="spellStart"/>
      <w:r>
        <w:rPr>
          <w:lang w:val="es-MX"/>
        </w:rPr>
        <w:t>Method</w:t>
      </w:r>
      <w:proofErr w:type="spellEnd"/>
      <w:r>
        <w:rPr>
          <w:lang w:val="es-MX"/>
        </w:rPr>
        <w:t xml:space="preserve">) en R Studio, </w:t>
      </w:r>
      <w:r w:rsidR="001E5C82">
        <w:rPr>
          <w:lang w:val="es-MX"/>
        </w:rPr>
        <w:t>ya</w:t>
      </w:r>
      <w:r>
        <w:rPr>
          <w:lang w:val="es-MX"/>
        </w:rPr>
        <w:t xml:space="preserve"> que este método es el más adecuado y común para valores de k pequeños.</w:t>
      </w:r>
      <w:r w:rsidR="0058602E">
        <w:rPr>
          <w:lang w:val="es-MX"/>
        </w:rPr>
        <w:t xml:space="preserve"> </w:t>
      </w:r>
      <w:r w:rsidR="002E15CF">
        <w:rPr>
          <w:lang w:val="es-MX"/>
        </w:rPr>
        <w:t>E</w:t>
      </w:r>
      <w:r w:rsidR="0058602E">
        <w:rPr>
          <w:lang w:val="es-MX"/>
        </w:rPr>
        <w:t>l método del codo arroj</w:t>
      </w:r>
      <w:r w:rsidR="001A56AA">
        <w:rPr>
          <w:lang w:val="es-MX"/>
        </w:rPr>
        <w:t>ó</w:t>
      </w:r>
      <w:r w:rsidR="0058602E">
        <w:rPr>
          <w:lang w:val="es-MX"/>
        </w:rPr>
        <w:t xml:space="preserve"> un k óptimo de 3. </w:t>
      </w:r>
    </w:p>
    <w:p w14:paraId="4C522B30" w14:textId="27106D9E" w:rsidR="00274F4E" w:rsidRPr="001A56AA" w:rsidRDefault="001706D2" w:rsidP="001A56AA">
      <w:pPr>
        <w:spacing w:line="480" w:lineRule="auto"/>
        <w:ind w:firstLine="708"/>
        <w:rPr>
          <w:lang w:val="es-MX"/>
        </w:rPr>
      </w:pPr>
      <w:r>
        <w:rPr>
          <w:lang w:val="es-MX"/>
        </w:rPr>
        <w:t xml:space="preserve">En la Figura </w:t>
      </w:r>
      <w:r w:rsidR="006126FB">
        <w:rPr>
          <w:lang w:val="es-MX"/>
        </w:rPr>
        <w:t>3</w:t>
      </w:r>
      <w:r w:rsidR="0058602E">
        <w:rPr>
          <w:lang w:val="es-MX"/>
        </w:rPr>
        <w:t xml:space="preserve"> </w:t>
      </w:r>
      <w:r>
        <w:rPr>
          <w:lang w:val="es-MX"/>
        </w:rPr>
        <w:t xml:space="preserve">se presenta </w:t>
      </w:r>
      <w:r w:rsidR="0058602E">
        <w:rPr>
          <w:lang w:val="es-MX"/>
        </w:rPr>
        <w:t>el</w:t>
      </w:r>
      <w:r>
        <w:rPr>
          <w:lang w:val="es-MX"/>
        </w:rPr>
        <w:t xml:space="preserve"> dendrograma correspondiente al análisis de clúster realizado para la clasificación de créditos por </w:t>
      </w:r>
      <w:r w:rsidR="00D059DB">
        <w:rPr>
          <w:lang w:val="es-MX"/>
        </w:rPr>
        <w:t xml:space="preserve">áreas </w:t>
      </w:r>
      <w:r w:rsidR="00434365">
        <w:rPr>
          <w:lang w:val="es-MX"/>
        </w:rPr>
        <w:t>del conocimiento del IISE</w:t>
      </w:r>
      <w:r>
        <w:rPr>
          <w:lang w:val="es-MX"/>
        </w:rPr>
        <w:t xml:space="preserve"> </w:t>
      </w:r>
      <w:r w:rsidR="001E5C82">
        <w:rPr>
          <w:lang w:val="es-MX"/>
        </w:rPr>
        <w:t>con k=3 particiones.</w:t>
      </w:r>
      <w:r w:rsidR="00E80080">
        <w:rPr>
          <w:lang w:val="es-MX"/>
        </w:rPr>
        <w:t xml:space="preserve"> </w:t>
      </w:r>
    </w:p>
    <w:p w14:paraId="34AEAC42" w14:textId="7397332B" w:rsidR="00E80080" w:rsidRPr="0058602E" w:rsidRDefault="00E80080" w:rsidP="000B5D3E">
      <w:pPr>
        <w:spacing w:line="480" w:lineRule="auto"/>
        <w:ind w:firstLine="708"/>
        <w:rPr>
          <w:rStyle w:val="Referenciasutil"/>
          <w:b w:val="0"/>
          <w:bCs/>
        </w:rPr>
      </w:pPr>
      <w:r>
        <w:rPr>
          <w:lang w:val="es-MX"/>
        </w:rPr>
        <w:t xml:space="preserve">El primer conglomerado (color verde) lo componen 15 universidades, el segundo conglomerado (color azul) se compone de 22 universidades, y el tercer conglomerado (color rojo) </w:t>
      </w:r>
      <w:r w:rsidR="003137FA">
        <w:rPr>
          <w:lang w:val="es-MX"/>
        </w:rPr>
        <w:t xml:space="preserve">lo </w:t>
      </w:r>
      <w:r>
        <w:rPr>
          <w:lang w:val="es-MX"/>
        </w:rPr>
        <w:t xml:space="preserve">integra </w:t>
      </w:r>
      <w:r w:rsidR="003137FA">
        <w:rPr>
          <w:lang w:val="es-MX"/>
        </w:rPr>
        <w:t xml:space="preserve">solo </w:t>
      </w:r>
      <w:r>
        <w:rPr>
          <w:lang w:val="es-MX"/>
        </w:rPr>
        <w:t>una universidad.</w:t>
      </w:r>
    </w:p>
    <w:p w14:paraId="7B4915ED" w14:textId="026D59B7" w:rsidR="00A144D2" w:rsidRPr="00582E3F" w:rsidRDefault="00A144D2" w:rsidP="00A144D2">
      <w:pPr>
        <w:spacing w:line="360" w:lineRule="auto"/>
        <w:rPr>
          <w:rStyle w:val="Referenciasutil"/>
        </w:rPr>
      </w:pPr>
      <w:r w:rsidRPr="00582E3F">
        <w:rPr>
          <w:rStyle w:val="Referenciasutil"/>
        </w:rPr>
        <w:t xml:space="preserve">Figura </w:t>
      </w:r>
      <w:r w:rsidR="006126FB">
        <w:rPr>
          <w:rStyle w:val="Referenciasutil"/>
        </w:rPr>
        <w:t>3</w:t>
      </w:r>
      <w:r w:rsidRPr="00582E3F">
        <w:rPr>
          <w:rStyle w:val="Referenciasutil"/>
        </w:rPr>
        <w:t>.</w:t>
      </w:r>
    </w:p>
    <w:p w14:paraId="1024352B" w14:textId="2755DA18" w:rsidR="00F46493" w:rsidRDefault="00A144D2" w:rsidP="00F46493">
      <w:pPr>
        <w:rPr>
          <w:rFonts w:eastAsiaTheme="minorEastAsia"/>
          <w:i/>
          <w:iCs/>
          <w:lang w:val="es-MX"/>
        </w:rPr>
      </w:pPr>
      <w:r w:rsidRPr="00B5415C">
        <w:rPr>
          <w:rFonts w:eastAsiaTheme="minorEastAsia"/>
          <w:i/>
          <w:iCs/>
          <w:lang w:val="es-MX"/>
        </w:rPr>
        <w:t>Dend</w:t>
      </w:r>
      <w:r>
        <w:rPr>
          <w:rFonts w:eastAsiaTheme="minorEastAsia"/>
          <w:i/>
          <w:iCs/>
          <w:lang w:val="es-MX"/>
        </w:rPr>
        <w:t>r</w:t>
      </w:r>
      <w:r w:rsidRPr="00B5415C">
        <w:rPr>
          <w:rFonts w:eastAsiaTheme="minorEastAsia"/>
          <w:i/>
          <w:iCs/>
          <w:lang w:val="es-MX"/>
        </w:rPr>
        <w:t>ograma: k-means clasificación IISE</w:t>
      </w:r>
    </w:p>
    <w:p w14:paraId="239C8CF5" w14:textId="77777777" w:rsidR="00F46493" w:rsidRDefault="00F46493" w:rsidP="00F46493">
      <w:pPr>
        <w:rPr>
          <w:rFonts w:eastAsiaTheme="minorEastAsia"/>
          <w:i/>
          <w:iCs/>
          <w:lang w:val="es-MX"/>
        </w:rPr>
      </w:pPr>
    </w:p>
    <w:p w14:paraId="17A67597" w14:textId="250D73E7" w:rsidR="00A144D2" w:rsidRPr="00034BB2" w:rsidRDefault="00A144D2" w:rsidP="00F46493">
      <w:pPr>
        <w:jc w:val="center"/>
        <w:rPr>
          <w:rFonts w:eastAsiaTheme="minorEastAsia"/>
          <w:i/>
          <w:iCs/>
          <w:lang w:val="es-MX"/>
        </w:rPr>
      </w:pPr>
      <w:r>
        <w:rPr>
          <w:noProof/>
        </w:rPr>
        <w:drawing>
          <wp:inline distT="0" distB="0" distL="0" distR="0" wp14:anchorId="67F9D9C0" wp14:editId="772387EB">
            <wp:extent cx="4451078" cy="2628531"/>
            <wp:effectExtent l="0" t="0" r="6985" b="63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53860" cy="2630174"/>
                    </a:xfrm>
                    <a:prstGeom prst="rect">
                      <a:avLst/>
                    </a:prstGeom>
                    <a:noFill/>
                    <a:ln>
                      <a:noFill/>
                    </a:ln>
                  </pic:spPr>
                </pic:pic>
              </a:graphicData>
            </a:graphic>
          </wp:inline>
        </w:drawing>
      </w:r>
    </w:p>
    <w:p w14:paraId="22CC9BAA" w14:textId="04EA2EDB" w:rsidR="00985F8E" w:rsidRDefault="00034BB2" w:rsidP="00F46493">
      <w:pPr>
        <w:rPr>
          <w:rFonts w:eastAsia="TimesNewRomanPSMT"/>
          <w:bCs/>
          <w:iCs/>
          <w:sz w:val="20"/>
          <w:szCs w:val="20"/>
          <w:lang w:eastAsia="es-ES_tradnl"/>
        </w:rPr>
      </w:pPr>
      <w:r w:rsidRPr="00896CA9">
        <w:rPr>
          <w:rFonts w:ascii="TimesNewRomanPSMT" w:eastAsia="TimesNewRomanPSMT" w:hAnsi="TimesNewRomanPSMT" w:cs="TimesNewRomanPSMT"/>
          <w:b/>
          <w:bCs/>
          <w:sz w:val="20"/>
          <w:lang w:val="es-CO" w:eastAsia="es-ES_tradnl"/>
        </w:rPr>
        <w:t xml:space="preserve">Fuente: </w:t>
      </w:r>
      <w:r>
        <w:rPr>
          <w:rFonts w:eastAsia="TimesNewRomanPSMT"/>
          <w:bCs/>
          <w:iCs/>
          <w:sz w:val="20"/>
          <w:szCs w:val="20"/>
          <w:lang w:eastAsia="es-ES_tradnl"/>
        </w:rPr>
        <w:t xml:space="preserve">Elaboración propia a partir de datos procesados en </w:t>
      </w:r>
      <w:proofErr w:type="spellStart"/>
      <w:r>
        <w:rPr>
          <w:rFonts w:eastAsia="TimesNewRomanPSMT"/>
          <w:bCs/>
          <w:iCs/>
          <w:sz w:val="20"/>
          <w:szCs w:val="20"/>
          <w:lang w:eastAsia="es-ES_tradnl"/>
        </w:rPr>
        <w:t>RStudio</w:t>
      </w:r>
      <w:proofErr w:type="spellEnd"/>
      <w:r>
        <w:rPr>
          <w:rFonts w:eastAsia="TimesNewRomanPSMT"/>
          <w:bCs/>
          <w:iCs/>
          <w:sz w:val="20"/>
          <w:szCs w:val="20"/>
          <w:lang w:eastAsia="es-ES_tradnl"/>
        </w:rPr>
        <w:t>.</w:t>
      </w:r>
    </w:p>
    <w:p w14:paraId="525C0897" w14:textId="51AA3D50" w:rsidR="00F46493" w:rsidRDefault="00A3325A" w:rsidP="0035625A">
      <w:pPr>
        <w:rPr>
          <w:rFonts w:ascii="TimesNewRomanPSMT" w:eastAsia="TimesNewRomanPSMT" w:hAnsi="TimesNewRomanPSMT" w:cs="TimesNewRomanPSMT"/>
          <w:sz w:val="20"/>
          <w:lang w:val="es-CO" w:eastAsia="es-ES_tradnl"/>
        </w:rPr>
      </w:pPr>
      <w:r w:rsidRPr="005772C1">
        <w:rPr>
          <w:rFonts w:ascii="TimesNewRomanPSMT" w:eastAsia="TimesNewRomanPSMT" w:hAnsi="TimesNewRomanPSMT" w:cs="TimesNewRomanPSMT"/>
          <w:b/>
          <w:bCs/>
          <w:i/>
          <w:iCs/>
          <w:sz w:val="20"/>
          <w:lang w:val="es-CO" w:eastAsia="es-ES_tradnl"/>
        </w:rPr>
        <w:lastRenderedPageBreak/>
        <w:t>Nota</w:t>
      </w:r>
      <w:r w:rsidRPr="005772C1">
        <w:rPr>
          <w:rFonts w:ascii="TimesNewRomanPSMT" w:eastAsia="TimesNewRomanPSMT" w:hAnsi="TimesNewRomanPSMT" w:cs="TimesNewRomanPSMT"/>
          <w:sz w:val="20"/>
          <w:lang w:val="es-CO" w:eastAsia="es-ES_tradnl"/>
        </w:rPr>
        <w:t>.</w:t>
      </w:r>
      <w:r>
        <w:rPr>
          <w:rFonts w:ascii="TimesNewRomanPSMT" w:eastAsia="TimesNewRomanPSMT" w:hAnsi="TimesNewRomanPSMT" w:cs="TimesNewRomanPSMT"/>
          <w:sz w:val="20"/>
          <w:lang w:val="es-CO" w:eastAsia="es-ES_tradnl"/>
        </w:rPr>
        <w:t xml:space="preserve"> 1. Universidad Industrial de Santander, 2. </w:t>
      </w:r>
      <w:r w:rsidR="006176D1">
        <w:rPr>
          <w:rFonts w:ascii="TimesNewRomanPSMT" w:eastAsia="TimesNewRomanPSMT" w:hAnsi="TimesNewRomanPSMT" w:cs="TimesNewRomanPSMT"/>
          <w:sz w:val="20"/>
          <w:lang w:val="es-CO" w:eastAsia="es-ES_tradnl"/>
        </w:rPr>
        <w:t>Universidad de los Andes, 3. Universidad Nacional de Colombia, 4. Pontificia Universidad Javeriana, 5. Universidad de Antioquía, 6. Universidad ICESI</w:t>
      </w:r>
      <w:r w:rsidR="002D25B8">
        <w:rPr>
          <w:rFonts w:ascii="TimesNewRomanPSMT" w:eastAsia="TimesNewRomanPSMT" w:hAnsi="TimesNewRomanPSMT" w:cs="TimesNewRomanPSMT"/>
          <w:sz w:val="20"/>
          <w:lang w:val="es-CO" w:eastAsia="es-ES_tradnl"/>
        </w:rPr>
        <w:t xml:space="preserve">, 7. </w:t>
      </w:r>
      <w:r w:rsidR="00325AFD">
        <w:rPr>
          <w:rFonts w:ascii="TimesNewRomanPSMT" w:eastAsia="TimesNewRomanPSMT" w:hAnsi="TimesNewRomanPSMT" w:cs="TimesNewRomanPSMT"/>
          <w:sz w:val="20"/>
          <w:lang w:val="es-CO" w:eastAsia="es-ES_tradnl"/>
        </w:rPr>
        <w:t xml:space="preserve">Universidad Pontificia Bolivariana, 8. Universidad de la Sabana, 9. Universidad del Rosario, 10. Universidad del Valle, 11. Universidad de la Salle, 12. Universidad de Medellín, 13. Universidad del Norte, 14. Universidad Antonio Nariño, 15. Universidad Distrital Francisco José de Caldas, 16. </w:t>
      </w:r>
      <w:r w:rsidR="00B8017B">
        <w:rPr>
          <w:rFonts w:ascii="TimesNewRomanPSMT" w:eastAsia="TimesNewRomanPSMT" w:hAnsi="TimesNewRomanPSMT" w:cs="TimesNewRomanPSMT"/>
          <w:sz w:val="20"/>
          <w:lang w:val="es-CO" w:eastAsia="es-ES_tradnl"/>
        </w:rPr>
        <w:t>Universidad de la Costa, 17. Universidad Francisco de Paula Santander, 18. Universidad del Atlántico, 19. Universidad Pedagógica y Tecnológica de Colombia, 20. Universidad Militar Nueva Granada, 21. Universidad Tecnológica de Pereira, 22. Universidad El Bosque, 23.</w:t>
      </w:r>
      <w:r w:rsidR="0048234F">
        <w:rPr>
          <w:rFonts w:ascii="TimesNewRomanPSMT" w:eastAsia="TimesNewRomanPSMT" w:hAnsi="TimesNewRomanPSMT" w:cs="TimesNewRomanPSMT"/>
          <w:sz w:val="20"/>
          <w:lang w:val="es-CO" w:eastAsia="es-ES_tradnl"/>
        </w:rPr>
        <w:t xml:space="preserve"> Columbia University, 24. University of Michigan-Ann Arbor, 25. University of California, Berkeley, 26. </w:t>
      </w:r>
      <w:proofErr w:type="spellStart"/>
      <w:r w:rsidR="0048234F">
        <w:rPr>
          <w:rFonts w:ascii="TimesNewRomanPSMT" w:eastAsia="TimesNewRomanPSMT" w:hAnsi="TimesNewRomanPSMT" w:cs="TimesNewRomanPSMT"/>
          <w:sz w:val="20"/>
          <w:lang w:val="es-CO" w:eastAsia="es-ES_tradnl"/>
        </w:rPr>
        <w:t>Shaghai</w:t>
      </w:r>
      <w:proofErr w:type="spellEnd"/>
      <w:r w:rsidR="0048234F">
        <w:rPr>
          <w:rFonts w:ascii="TimesNewRomanPSMT" w:eastAsia="TimesNewRomanPSMT" w:hAnsi="TimesNewRomanPSMT" w:cs="TimesNewRomanPSMT"/>
          <w:sz w:val="20"/>
          <w:lang w:val="es-CO" w:eastAsia="es-ES_tradnl"/>
        </w:rPr>
        <w:t xml:space="preserve"> </w:t>
      </w:r>
      <w:proofErr w:type="spellStart"/>
      <w:r w:rsidR="0048234F">
        <w:rPr>
          <w:rFonts w:ascii="TimesNewRomanPSMT" w:eastAsia="TimesNewRomanPSMT" w:hAnsi="TimesNewRomanPSMT" w:cs="TimesNewRomanPSMT"/>
          <w:sz w:val="20"/>
          <w:lang w:val="es-CO" w:eastAsia="es-ES_tradnl"/>
        </w:rPr>
        <w:t>Jiao</w:t>
      </w:r>
      <w:proofErr w:type="spellEnd"/>
      <w:r w:rsidR="0048234F">
        <w:rPr>
          <w:rFonts w:ascii="TimesNewRomanPSMT" w:eastAsia="TimesNewRomanPSMT" w:hAnsi="TimesNewRomanPSMT" w:cs="TimesNewRomanPSMT"/>
          <w:sz w:val="20"/>
          <w:lang w:val="es-CO" w:eastAsia="es-ES_tradnl"/>
        </w:rPr>
        <w:t xml:space="preserve"> </w:t>
      </w:r>
      <w:proofErr w:type="spellStart"/>
      <w:r w:rsidR="0048234F">
        <w:rPr>
          <w:rFonts w:ascii="TimesNewRomanPSMT" w:eastAsia="TimesNewRomanPSMT" w:hAnsi="TimesNewRomanPSMT" w:cs="TimesNewRomanPSMT"/>
          <w:sz w:val="20"/>
          <w:lang w:val="es-CO" w:eastAsia="es-ES_tradnl"/>
        </w:rPr>
        <w:t>Tong</w:t>
      </w:r>
      <w:proofErr w:type="spellEnd"/>
      <w:r w:rsidR="0048234F">
        <w:rPr>
          <w:rFonts w:ascii="TimesNewRomanPSMT" w:eastAsia="TimesNewRomanPSMT" w:hAnsi="TimesNewRomanPSMT" w:cs="TimesNewRomanPSMT"/>
          <w:sz w:val="20"/>
          <w:lang w:val="es-CO" w:eastAsia="es-ES_tradnl"/>
        </w:rPr>
        <w:t xml:space="preserve"> University, 27. </w:t>
      </w:r>
      <w:r w:rsidR="008F0937">
        <w:rPr>
          <w:rFonts w:ascii="TimesNewRomanPSMT" w:eastAsia="TimesNewRomanPSMT" w:hAnsi="TimesNewRomanPSMT" w:cs="TimesNewRomanPSMT"/>
          <w:sz w:val="20"/>
          <w:lang w:val="es-CO" w:eastAsia="es-ES_tradnl"/>
        </w:rPr>
        <w:t xml:space="preserve">University of Wisconsin, 28. </w:t>
      </w:r>
      <w:r w:rsidR="00514CDF">
        <w:rPr>
          <w:rFonts w:ascii="TimesNewRomanPSMT" w:eastAsia="TimesNewRomanPSMT" w:hAnsi="TimesNewRomanPSMT" w:cs="TimesNewRomanPSMT"/>
          <w:sz w:val="20"/>
          <w:lang w:val="es-CO" w:eastAsia="es-ES_tradnl"/>
        </w:rPr>
        <w:t xml:space="preserve">Universidad de Buenos Aires, 29. University of Illinois at Urbana-Champaign, 30. </w:t>
      </w:r>
      <w:r w:rsidR="00960B09">
        <w:rPr>
          <w:rFonts w:ascii="TimesNewRomanPSMT" w:eastAsia="TimesNewRomanPSMT" w:hAnsi="TimesNewRomanPSMT" w:cs="TimesNewRomanPSMT"/>
          <w:sz w:val="20"/>
          <w:lang w:val="es-CO" w:eastAsia="es-ES_tradnl"/>
        </w:rPr>
        <w:t xml:space="preserve">Universidad Nacional Autónoma de México UNAM, 31. Purdue University, 32. University of </w:t>
      </w:r>
      <w:proofErr w:type="spellStart"/>
      <w:r w:rsidR="00960B09">
        <w:rPr>
          <w:rFonts w:ascii="TimesNewRomanPSMT" w:eastAsia="TimesNewRomanPSMT" w:hAnsi="TimesNewRomanPSMT" w:cs="TimesNewRomanPSMT"/>
          <w:sz w:val="20"/>
          <w:lang w:val="es-CO" w:eastAsia="es-ES_tradnl"/>
        </w:rPr>
        <w:t>Southern</w:t>
      </w:r>
      <w:proofErr w:type="spellEnd"/>
      <w:r w:rsidR="00960B09">
        <w:rPr>
          <w:rFonts w:ascii="TimesNewRomanPSMT" w:eastAsia="TimesNewRomanPSMT" w:hAnsi="TimesNewRomanPSMT" w:cs="TimesNewRomanPSMT"/>
          <w:sz w:val="20"/>
          <w:lang w:val="es-CO" w:eastAsia="es-ES_tradnl"/>
        </w:rPr>
        <w:t xml:space="preserve"> California, 33. Pennsylvania </w:t>
      </w:r>
      <w:proofErr w:type="spellStart"/>
      <w:r w:rsidR="00960B09">
        <w:rPr>
          <w:rFonts w:ascii="TimesNewRomanPSMT" w:eastAsia="TimesNewRomanPSMT" w:hAnsi="TimesNewRomanPSMT" w:cs="TimesNewRomanPSMT"/>
          <w:sz w:val="20"/>
          <w:lang w:val="es-CO" w:eastAsia="es-ES_tradnl"/>
        </w:rPr>
        <w:t>State</w:t>
      </w:r>
      <w:proofErr w:type="spellEnd"/>
      <w:r w:rsidR="00960B09">
        <w:rPr>
          <w:rFonts w:ascii="TimesNewRomanPSMT" w:eastAsia="TimesNewRomanPSMT" w:hAnsi="TimesNewRomanPSMT" w:cs="TimesNewRomanPSMT"/>
          <w:sz w:val="20"/>
          <w:lang w:val="es-CO" w:eastAsia="es-ES_tradnl"/>
        </w:rPr>
        <w:t xml:space="preserve"> University, 34. University of Florida, 35. University of Groningen, 36. University of Arizona, 37. Texas A&amp;M University, College </w:t>
      </w:r>
      <w:proofErr w:type="spellStart"/>
      <w:r w:rsidR="00960B09">
        <w:rPr>
          <w:rFonts w:ascii="TimesNewRomanPSMT" w:eastAsia="TimesNewRomanPSMT" w:hAnsi="TimesNewRomanPSMT" w:cs="TimesNewRomanPSMT"/>
          <w:sz w:val="20"/>
          <w:lang w:val="es-CO" w:eastAsia="es-ES_tradnl"/>
        </w:rPr>
        <w:t>Station</w:t>
      </w:r>
      <w:proofErr w:type="spellEnd"/>
      <w:r w:rsidR="00960B09">
        <w:rPr>
          <w:rFonts w:ascii="TimesNewRomanPSMT" w:eastAsia="TimesNewRomanPSMT" w:hAnsi="TimesNewRomanPSMT" w:cs="TimesNewRomanPSMT"/>
          <w:sz w:val="20"/>
          <w:lang w:val="es-CO" w:eastAsia="es-ES_tradnl"/>
        </w:rPr>
        <w:t>, 38. Rutgers University – New Brunswick.</w:t>
      </w:r>
    </w:p>
    <w:p w14:paraId="4DCD9E14" w14:textId="77777777" w:rsidR="00A3325A" w:rsidRDefault="00A3325A" w:rsidP="0035625A">
      <w:pPr>
        <w:rPr>
          <w:lang w:val="es-MX"/>
        </w:rPr>
      </w:pPr>
    </w:p>
    <w:p w14:paraId="5347CF08" w14:textId="69FE3647" w:rsidR="00534677" w:rsidRDefault="001A56AA" w:rsidP="0035625A">
      <w:pPr>
        <w:spacing w:line="480" w:lineRule="auto"/>
        <w:ind w:firstLine="708"/>
        <w:rPr>
          <w:lang w:val="es-MX"/>
        </w:rPr>
      </w:pPr>
      <w:r>
        <w:rPr>
          <w:lang w:val="es-MX"/>
        </w:rPr>
        <w:t>Los resultados m</w:t>
      </w:r>
      <w:r w:rsidR="00844B70">
        <w:rPr>
          <w:lang w:val="es-MX"/>
        </w:rPr>
        <w:t>ostraron</w:t>
      </w:r>
      <w:r>
        <w:rPr>
          <w:lang w:val="es-MX"/>
        </w:rPr>
        <w:t xml:space="preserve"> que instituciones</w:t>
      </w:r>
      <w:r w:rsidR="005F0AA4">
        <w:rPr>
          <w:lang w:val="es-MX"/>
        </w:rPr>
        <w:t xml:space="preserve"> </w:t>
      </w:r>
      <w:r w:rsidR="009658F6">
        <w:rPr>
          <w:lang w:val="es-MX"/>
        </w:rPr>
        <w:t xml:space="preserve">pertenecientes al clúster </w:t>
      </w:r>
      <w:r w:rsidR="00437E60">
        <w:rPr>
          <w:lang w:val="es-MX"/>
        </w:rPr>
        <w:t>2</w:t>
      </w:r>
      <w:r w:rsidR="009658F6">
        <w:rPr>
          <w:lang w:val="es-MX"/>
        </w:rPr>
        <w:t xml:space="preserve">, </w:t>
      </w:r>
      <w:r w:rsidR="005F0AA4">
        <w:rPr>
          <w:lang w:val="es-MX"/>
        </w:rPr>
        <w:t>como la Universidad del Norte, Universidad Militar Nueva Granada, Universidad Nacional de Colombia y la Universidad de la Sabana tienden a parecerse a la Universidad Industrial de Santander en el comportamiento de sus créditos, al igual que universidades internacionales como la University of Groningen</w:t>
      </w:r>
      <w:r w:rsidR="00B15EA7">
        <w:rPr>
          <w:lang w:val="es-MX"/>
        </w:rPr>
        <w:t xml:space="preserve">, </w:t>
      </w:r>
      <w:r w:rsidR="00F37E71">
        <w:rPr>
          <w:lang w:val="es-MX"/>
        </w:rPr>
        <w:t>que,</w:t>
      </w:r>
      <w:r w:rsidR="00B15EA7">
        <w:rPr>
          <w:lang w:val="es-MX"/>
        </w:rPr>
        <w:t xml:space="preserve"> de acuerdo a las medias de los clúster</w:t>
      </w:r>
      <w:r w:rsidR="00F37E71">
        <w:rPr>
          <w:lang w:val="es-MX"/>
        </w:rPr>
        <w:t>es</w:t>
      </w:r>
      <w:r w:rsidR="00B15EA7">
        <w:rPr>
          <w:lang w:val="es-MX"/>
        </w:rPr>
        <w:t>, tienden a orientarse hacia Gestión de Ingeniería.</w:t>
      </w:r>
    </w:p>
    <w:p w14:paraId="7545A59D" w14:textId="137BAA07" w:rsidR="00592C81" w:rsidRPr="00CB27B9" w:rsidRDefault="005F0AA4" w:rsidP="0035625A">
      <w:pPr>
        <w:spacing w:line="480" w:lineRule="auto"/>
        <w:ind w:firstLine="708"/>
        <w:rPr>
          <w:lang w:val="es-MX"/>
        </w:rPr>
      </w:pPr>
      <w:r>
        <w:rPr>
          <w:lang w:val="es-MX"/>
        </w:rPr>
        <w:t xml:space="preserve">Y las </w:t>
      </w:r>
      <w:r w:rsidR="008F3A11">
        <w:rPr>
          <w:lang w:val="es-MX"/>
        </w:rPr>
        <w:t>instituciones</w:t>
      </w:r>
      <w:r>
        <w:rPr>
          <w:lang w:val="es-MX"/>
        </w:rPr>
        <w:t xml:space="preserve"> nacionales</w:t>
      </w:r>
      <w:r w:rsidR="00886A8E">
        <w:rPr>
          <w:lang w:val="es-MX"/>
        </w:rPr>
        <w:t xml:space="preserve">, pertenecientes al clúster </w:t>
      </w:r>
      <w:r w:rsidR="00437E60">
        <w:rPr>
          <w:lang w:val="es-MX"/>
        </w:rPr>
        <w:t>1</w:t>
      </w:r>
      <w:r w:rsidR="00886A8E">
        <w:rPr>
          <w:lang w:val="es-MX"/>
        </w:rPr>
        <w:t>,</w:t>
      </w:r>
      <w:r>
        <w:rPr>
          <w:lang w:val="es-MX"/>
        </w:rPr>
        <w:t xml:space="preserve"> que t</w:t>
      </w:r>
      <w:r w:rsidR="00844B70">
        <w:rPr>
          <w:lang w:val="es-MX"/>
        </w:rPr>
        <w:t>ienden</w:t>
      </w:r>
      <w:r>
        <w:rPr>
          <w:lang w:val="es-MX"/>
        </w:rPr>
        <w:t xml:space="preserve"> seguir el comportamiento de los créditos de las universidades internacionales, son la Universidad del Rosario</w:t>
      </w:r>
      <w:r w:rsidR="00F37E71">
        <w:rPr>
          <w:lang w:val="es-MX"/>
        </w:rPr>
        <w:t xml:space="preserve"> y</w:t>
      </w:r>
      <w:r>
        <w:rPr>
          <w:lang w:val="es-MX"/>
        </w:rPr>
        <w:t xml:space="preserve"> la Universidad Antonio Nariño</w:t>
      </w:r>
      <w:r w:rsidR="00F37E71">
        <w:rPr>
          <w:lang w:val="es-MX"/>
        </w:rPr>
        <w:t>, puesto que según las medias del análisis de conglomerados tienden hacia Investigación y análisis de operaciones e, Ingeniería de calidad y confiabilidad.</w:t>
      </w:r>
      <w:r w:rsidR="00DC21E4">
        <w:rPr>
          <w:lang w:val="es-MX"/>
        </w:rPr>
        <w:t xml:space="preserve"> </w:t>
      </w:r>
    </w:p>
    <w:p w14:paraId="694DA2D2" w14:textId="47F5411C" w:rsidR="00884DA2" w:rsidRDefault="00884DA2" w:rsidP="006C1CBD">
      <w:pPr>
        <w:spacing w:line="480" w:lineRule="auto"/>
        <w:jc w:val="center"/>
        <w:rPr>
          <w:b/>
          <w:bCs/>
          <w:color w:val="000000" w:themeColor="text1"/>
        </w:rPr>
      </w:pPr>
      <w:r w:rsidRPr="00683416">
        <w:rPr>
          <w:b/>
          <w:bCs/>
          <w:color w:val="000000" w:themeColor="text1"/>
        </w:rPr>
        <w:t>Discusión</w:t>
      </w:r>
      <w:r w:rsidR="0064296A">
        <w:rPr>
          <w:b/>
          <w:bCs/>
          <w:color w:val="000000" w:themeColor="text1"/>
        </w:rPr>
        <w:t xml:space="preserve"> y conclusiones</w:t>
      </w:r>
    </w:p>
    <w:p w14:paraId="7E1291F4" w14:textId="41A08DC3" w:rsidR="00C83497" w:rsidRPr="00683416" w:rsidRDefault="006726D1" w:rsidP="00C83497">
      <w:pPr>
        <w:spacing w:line="480" w:lineRule="auto"/>
        <w:ind w:firstLine="708"/>
        <w:rPr>
          <w:b/>
          <w:bCs/>
          <w:color w:val="000000" w:themeColor="text1"/>
        </w:rPr>
      </w:pPr>
      <w:r>
        <w:rPr>
          <w:lang w:val="es-MX"/>
        </w:rPr>
        <w:t xml:space="preserve">De los resultados, se tienen aspectos importantes. </w:t>
      </w:r>
      <w:r w:rsidR="00C83497" w:rsidRPr="00FF7234">
        <w:rPr>
          <w:lang w:val="es-MX"/>
        </w:rPr>
        <w:t>En cuanto a</w:t>
      </w:r>
      <w:r w:rsidR="00C83497">
        <w:rPr>
          <w:lang w:val="es-MX"/>
        </w:rPr>
        <w:t>l alto número de créditos que imparte la Universidad de Buenos Aires y la UNAM</w:t>
      </w:r>
      <w:r>
        <w:rPr>
          <w:lang w:val="es-MX"/>
        </w:rPr>
        <w:t>,</w:t>
      </w:r>
      <w:r w:rsidR="00C83497">
        <w:rPr>
          <w:lang w:val="es-MX"/>
        </w:rPr>
        <w:t xml:space="preserve"> tiene que ver con el sistema de créditos que manejan. </w:t>
      </w:r>
    </w:p>
    <w:p w14:paraId="66E79213" w14:textId="05DBCED7" w:rsidR="002D7883" w:rsidRDefault="00DA6616" w:rsidP="00855533">
      <w:pPr>
        <w:spacing w:line="480" w:lineRule="auto"/>
        <w:ind w:firstLine="708"/>
        <w:rPr>
          <w:lang w:val="es-MX"/>
        </w:rPr>
      </w:pPr>
      <w:r>
        <w:rPr>
          <w:lang w:val="es-MX"/>
        </w:rPr>
        <w:t>En cuanto a l</w:t>
      </w:r>
      <w:r w:rsidR="00C2170E">
        <w:rPr>
          <w:lang w:val="es-MX"/>
        </w:rPr>
        <w:t xml:space="preserve">a inclusión del inglés en el currículo académico, </w:t>
      </w:r>
      <w:r>
        <w:rPr>
          <w:lang w:val="es-MX"/>
        </w:rPr>
        <w:t xml:space="preserve">este </w:t>
      </w:r>
      <w:r w:rsidR="00C2170E">
        <w:rPr>
          <w:lang w:val="es-MX"/>
        </w:rPr>
        <w:t>debe</w:t>
      </w:r>
      <w:r>
        <w:rPr>
          <w:lang w:val="es-MX"/>
        </w:rPr>
        <w:t>ría</w:t>
      </w:r>
      <w:r w:rsidR="00C2170E">
        <w:rPr>
          <w:lang w:val="es-MX"/>
        </w:rPr>
        <w:t xml:space="preserve"> ser uno de los objetivos consecuencia de la globalización como complemento de la formación profesional e integral. </w:t>
      </w:r>
      <w:r>
        <w:rPr>
          <w:lang w:val="es-MX"/>
        </w:rPr>
        <w:t>Incluso, s</w:t>
      </w:r>
      <w:r w:rsidR="00C2170E">
        <w:rPr>
          <w:lang w:val="es-MX"/>
        </w:rPr>
        <w:t xml:space="preserve">e podría llegar a pensar si quiera que ya no se </w:t>
      </w:r>
      <w:r w:rsidR="00C2170E">
        <w:rPr>
          <w:lang w:val="es-MX"/>
        </w:rPr>
        <w:lastRenderedPageBreak/>
        <w:t xml:space="preserve">encuentra como algo opcional, sino que la calidad de la educación obliga a instituciones a emprender vuelo en la enseñanza de nuevos idiomas (Chávez-Zambrano et al., 2017). </w:t>
      </w:r>
      <w:r w:rsidR="006746B8">
        <w:rPr>
          <w:lang w:val="es-MX"/>
        </w:rPr>
        <w:tab/>
      </w:r>
      <w:r w:rsidR="00C2170E">
        <w:rPr>
          <w:color w:val="000000" w:themeColor="text1"/>
        </w:rPr>
        <w:t>Los resultados de la investigación m</w:t>
      </w:r>
      <w:r w:rsidR="00FE7317">
        <w:rPr>
          <w:color w:val="000000" w:themeColor="text1"/>
        </w:rPr>
        <w:t>ostraron</w:t>
      </w:r>
      <w:r w:rsidR="00C2170E">
        <w:rPr>
          <w:lang w:val="es-MX"/>
        </w:rPr>
        <w:t xml:space="preserve"> que gran parte de las universidades de Colombia, aproximadamente 68,18% no lo inculcan de manera obligatoria</w:t>
      </w:r>
      <w:r>
        <w:rPr>
          <w:lang w:val="es-MX"/>
        </w:rPr>
        <w:t>. Por ejemplo,</w:t>
      </w:r>
      <w:r w:rsidR="00C2170E">
        <w:rPr>
          <w:lang w:val="es-MX"/>
        </w:rPr>
        <w:t xml:space="preserve"> la Universidad del Valle, </w:t>
      </w:r>
      <w:r>
        <w:rPr>
          <w:lang w:val="es-MX"/>
        </w:rPr>
        <w:t>ofrece</w:t>
      </w:r>
      <w:r w:rsidR="00C2170E">
        <w:rPr>
          <w:lang w:val="es-MX"/>
        </w:rPr>
        <w:t xml:space="preserve"> el inglés </w:t>
      </w:r>
      <w:r>
        <w:rPr>
          <w:lang w:val="es-MX"/>
        </w:rPr>
        <w:t xml:space="preserve">de manera </w:t>
      </w:r>
      <w:r w:rsidR="00C2170E">
        <w:rPr>
          <w:lang w:val="es-MX"/>
        </w:rPr>
        <w:t xml:space="preserve">extracurricular con un total de 10 créditos, </w:t>
      </w:r>
      <w:r>
        <w:rPr>
          <w:lang w:val="es-MX"/>
        </w:rPr>
        <w:t>es decir, que e</w:t>
      </w:r>
      <w:r w:rsidR="00C2170E">
        <w:rPr>
          <w:lang w:val="es-MX"/>
        </w:rPr>
        <w:t xml:space="preserve">stos no son tomados en cuenta en la totalidad de créditos </w:t>
      </w:r>
      <w:r w:rsidR="00FE7317">
        <w:rPr>
          <w:lang w:val="es-MX"/>
        </w:rPr>
        <w:t>de</w:t>
      </w:r>
      <w:r w:rsidR="00C2170E">
        <w:rPr>
          <w:lang w:val="es-MX"/>
        </w:rPr>
        <w:t xml:space="preserve">l plan de estudios. Por su parte, en la Pontificia Universidad Javeriana </w:t>
      </w:r>
      <w:r w:rsidR="007A15DE">
        <w:rPr>
          <w:lang w:val="es-MX"/>
        </w:rPr>
        <w:t xml:space="preserve">se </w:t>
      </w:r>
      <w:r w:rsidR="00C2170E">
        <w:rPr>
          <w:lang w:val="es-MX"/>
        </w:rPr>
        <w:t>requiere un mínimo de inglés nivel B2</w:t>
      </w:r>
      <w:r w:rsidR="007A15DE">
        <w:rPr>
          <w:lang w:val="es-MX"/>
        </w:rPr>
        <w:t xml:space="preserve"> para cursar otras asignaturas</w:t>
      </w:r>
      <w:r>
        <w:rPr>
          <w:lang w:val="es-MX"/>
        </w:rPr>
        <w:t xml:space="preserve">, </w:t>
      </w:r>
      <w:r w:rsidR="007A15DE">
        <w:rPr>
          <w:lang w:val="es-MX"/>
        </w:rPr>
        <w:t xml:space="preserve">lo cual, </w:t>
      </w:r>
      <w:r>
        <w:rPr>
          <w:lang w:val="es-MX"/>
        </w:rPr>
        <w:t>si se observa el plan de estudios, no se exige directamente sobre los créditos de la carrera</w:t>
      </w:r>
      <w:r w:rsidR="00C2170E">
        <w:rPr>
          <w:lang w:val="es-MX"/>
        </w:rPr>
        <w:t>.</w:t>
      </w:r>
      <w:r w:rsidR="0026696C">
        <w:rPr>
          <w:lang w:val="es-MX"/>
        </w:rPr>
        <w:t xml:space="preserve"> </w:t>
      </w:r>
    </w:p>
    <w:p w14:paraId="2078FB62" w14:textId="203D0A0E" w:rsidR="00BE36E2" w:rsidRDefault="00EE008A" w:rsidP="006642D8">
      <w:pPr>
        <w:spacing w:line="480" w:lineRule="auto"/>
        <w:ind w:firstLine="708"/>
        <w:rPr>
          <w:lang w:val="es-MX"/>
        </w:rPr>
      </w:pPr>
      <w:r>
        <w:rPr>
          <w:color w:val="000000" w:themeColor="text1"/>
        </w:rPr>
        <w:t xml:space="preserve"> </w:t>
      </w:r>
      <w:r>
        <w:rPr>
          <w:lang w:val="es-MX"/>
        </w:rPr>
        <w:t xml:space="preserve">Acerca de las áreas a las cuales tienden la mayoría de universidades a orientar su plan de estudios, y aquellas a las cuales no tanto, gracias a los análisis descriptivos que se confirmaron estadísticamente con el análisis Games – Howell, se encontró evidente que alrededor de 4-5 áreas del conocimiento son fuertemente impartidas: Investigación y análisis de operaciones, Gestión de la Ingeniería, Ingeniería de calidad y confiabilidad, Análisis económico de ingeniería e Ingeniería de diseño y fabricación, siguiendo sus pasos Ingeniería y gestión de operaciones, convirtiendo a la Ingeniería Industrial en una carrera multidisciplinaria, no obstante, otras no lo son. Tal es el caso de Ingeniería de la información y el tratamiento de datos, pues su consideración es poco relevante si se compara con las competencias y habilidades que el panorama actual exige. En este campo, la Universidad Industrial de Santander, no está a la vanguardia, al igual que las universidades restantes, tanto nacionales como internacionales. Otros ámbitos como Diseño y desarrollo de productos, Ingeniería de la información, Ingeniería de instalaciones, Gestión de abastecimiento y Diseño y medición del trabajo, </w:t>
      </w:r>
      <w:r>
        <w:rPr>
          <w:lang w:val="es-MX"/>
        </w:rPr>
        <w:lastRenderedPageBreak/>
        <w:t>a nivel nacional como internacional no tienen mayor significación dentro de las temáticas de los planes de estudio, siendo estas un fuerte indudable de la Ingeniería Industrial</w:t>
      </w:r>
      <w:r w:rsidR="00047DE3">
        <w:rPr>
          <w:lang w:val="es-MX"/>
        </w:rPr>
        <w:t xml:space="preserve"> en el mercado laboral</w:t>
      </w:r>
      <w:r>
        <w:rPr>
          <w:lang w:val="es-MX"/>
        </w:rPr>
        <w:t>. Y no hay que dejar de lado las áreas de Seguridad y Salud en el trabajo, ya que ocurre exactamente lo mismo con respecto a la poca formación que se enseña de estas, confirmando el planteamiento de Arquez y Garzón (2016), en el cual se destaca que a pesar de que el área es muy demandada, los planes de estudio no se han fortalecido en cursos obligatorios de esta como se debería, especialmente en las universidades internacionales, y es que, aunque la Universidad Industrial de Santander sigue a la vanguardia en seguridad, debe fortalecer su contenido de ergonomía.</w:t>
      </w:r>
    </w:p>
    <w:p w14:paraId="1381C9BA" w14:textId="0DDEBD88" w:rsidR="006B77A8" w:rsidRDefault="007449C8" w:rsidP="004A455F">
      <w:pPr>
        <w:spacing w:line="480" w:lineRule="auto"/>
        <w:ind w:firstLine="708"/>
        <w:rPr>
          <w:lang w:val="es-MX"/>
        </w:rPr>
      </w:pPr>
      <w:r>
        <w:rPr>
          <w:lang w:val="es-MX"/>
        </w:rPr>
        <w:t xml:space="preserve">Lo anterior da a concluir que </w:t>
      </w:r>
      <w:r w:rsidR="006B77A8">
        <w:rPr>
          <w:lang w:val="es-MX"/>
        </w:rPr>
        <w:t xml:space="preserve">sí existe una brecha entre universidades nacionales e internacionales, </w:t>
      </w:r>
      <w:r w:rsidR="004A455F">
        <w:rPr>
          <w:color w:val="000000" w:themeColor="text1"/>
        </w:rPr>
        <w:t xml:space="preserve">lo cual se </w:t>
      </w:r>
      <w:r w:rsidR="0075689D">
        <w:rPr>
          <w:color w:val="000000" w:themeColor="text1"/>
        </w:rPr>
        <w:t>re</w:t>
      </w:r>
      <w:r w:rsidR="004A455F">
        <w:rPr>
          <w:color w:val="000000" w:themeColor="text1"/>
        </w:rPr>
        <w:t>afirmó</w:t>
      </w:r>
      <w:r w:rsidR="004A455F">
        <w:rPr>
          <w:lang w:val="es-MX"/>
        </w:rPr>
        <w:t xml:space="preserve"> con el análisis de clúster,</w:t>
      </w:r>
      <w:r w:rsidR="0075689D">
        <w:rPr>
          <w:lang w:val="es-MX"/>
        </w:rPr>
        <w:t xml:space="preserve"> encontrando</w:t>
      </w:r>
      <w:r w:rsidR="006B77A8">
        <w:rPr>
          <w:lang w:val="es-MX"/>
        </w:rPr>
        <w:t xml:space="preserve"> que solo unas pocas instituciones nacionales tienden a tener características en común a </w:t>
      </w:r>
      <w:r w:rsidR="0075689D">
        <w:rPr>
          <w:lang w:val="es-MX"/>
        </w:rPr>
        <w:t>las internacionales</w:t>
      </w:r>
      <w:r w:rsidR="006B77A8">
        <w:rPr>
          <w:lang w:val="es-MX"/>
        </w:rPr>
        <w:t>, según los clústeres, dentro de las cuales no se encuentra la Universidad Industrial de Santander.</w:t>
      </w:r>
    </w:p>
    <w:p w14:paraId="2BB71F96" w14:textId="7D0EE5CC" w:rsidR="0064296A" w:rsidRPr="00683416" w:rsidRDefault="00860AEA" w:rsidP="0064296A">
      <w:pPr>
        <w:spacing w:line="480" w:lineRule="auto"/>
        <w:rPr>
          <w:color w:val="000000" w:themeColor="text1"/>
        </w:rPr>
      </w:pPr>
      <w:r>
        <w:rPr>
          <w:color w:val="000000" w:themeColor="text1"/>
        </w:rPr>
        <w:tab/>
        <w:t>Los hallazgos de este estudio, aportan a la finalidad de la investigación, la cual fue comparar y encontrar semejanzas y diferencias entre el currículo académico de la Universidad Industrial de Santander con respecto a otros para encontrar oportunidades de mejora. Cada uno de los aspectos analizados</w:t>
      </w:r>
      <w:r w:rsidR="004D4204">
        <w:rPr>
          <w:color w:val="000000" w:themeColor="text1"/>
        </w:rPr>
        <w:t xml:space="preserve"> dan a entender el panorama en el que </w:t>
      </w:r>
      <w:r w:rsidR="00D061CC">
        <w:rPr>
          <w:color w:val="000000" w:themeColor="text1"/>
        </w:rPr>
        <w:t>se encuentra</w:t>
      </w:r>
      <w:r w:rsidR="004D4204">
        <w:rPr>
          <w:color w:val="000000" w:themeColor="text1"/>
        </w:rPr>
        <w:t xml:space="preserve"> la universidad, y se espera sirvan de apoyo a futuras versiones del plan de estudios del programa de Ingeniería Industrial</w:t>
      </w:r>
      <w:r w:rsidR="00D061CC">
        <w:rPr>
          <w:color w:val="000000" w:themeColor="text1"/>
        </w:rPr>
        <w:t xml:space="preserve"> o a futuras investigaciones de evaluación curricular</w:t>
      </w:r>
      <w:r w:rsidR="004D4204">
        <w:rPr>
          <w:color w:val="000000" w:themeColor="text1"/>
        </w:rPr>
        <w:t>.</w:t>
      </w:r>
    </w:p>
    <w:p w14:paraId="4101652C" w14:textId="0C4C2C46" w:rsidR="00693633" w:rsidRDefault="00884DA2" w:rsidP="00E45839">
      <w:pPr>
        <w:spacing w:line="480" w:lineRule="auto"/>
        <w:jc w:val="center"/>
        <w:rPr>
          <w:b/>
          <w:bCs/>
          <w:color w:val="000000" w:themeColor="text1"/>
        </w:rPr>
      </w:pPr>
      <w:r w:rsidRPr="00683416">
        <w:rPr>
          <w:b/>
          <w:bCs/>
          <w:color w:val="000000" w:themeColor="text1"/>
        </w:rPr>
        <w:t>Referencias</w:t>
      </w:r>
    </w:p>
    <w:p w14:paraId="57054026" w14:textId="04F546EC" w:rsidR="00294FED" w:rsidRPr="00294FED" w:rsidRDefault="00294FED" w:rsidP="00294FED">
      <w:pPr>
        <w:pStyle w:val="Bibliografa"/>
        <w:spacing w:line="360" w:lineRule="auto"/>
        <w:ind w:left="720" w:hanging="720"/>
        <w:jc w:val="both"/>
        <w:rPr>
          <w:rFonts w:ascii="Times New Roman" w:hAnsi="Times New Roman" w:cs="Times New Roman"/>
          <w:noProof/>
          <w:sz w:val="24"/>
          <w:szCs w:val="24"/>
          <w:lang w:val="en-US"/>
        </w:rPr>
      </w:pPr>
      <w:r w:rsidRPr="002A4CE9">
        <w:rPr>
          <w:rFonts w:ascii="Times New Roman" w:hAnsi="Times New Roman" w:cs="Times New Roman"/>
          <w:noProof/>
          <w:sz w:val="24"/>
          <w:szCs w:val="24"/>
        </w:rPr>
        <w:t xml:space="preserve">Agrawal, D., Hou, H.-Y., </w:t>
      </w:r>
      <w:r>
        <w:rPr>
          <w:rFonts w:ascii="Times New Roman" w:hAnsi="Times New Roman" w:cs="Times New Roman"/>
          <w:noProof/>
          <w:sz w:val="24"/>
          <w:szCs w:val="24"/>
        </w:rPr>
        <w:t>y</w:t>
      </w:r>
      <w:r w:rsidRPr="002A4CE9">
        <w:rPr>
          <w:rFonts w:ascii="Times New Roman" w:hAnsi="Times New Roman" w:cs="Times New Roman"/>
          <w:noProof/>
          <w:sz w:val="24"/>
          <w:szCs w:val="24"/>
        </w:rPr>
        <w:t xml:space="preserve"> Cheng, T.-M. (2021). </w:t>
      </w:r>
      <w:r w:rsidRPr="002A4CE9">
        <w:rPr>
          <w:rFonts w:ascii="Times New Roman" w:hAnsi="Times New Roman" w:cs="Times New Roman"/>
          <w:noProof/>
          <w:sz w:val="24"/>
          <w:szCs w:val="24"/>
          <w:lang w:val="en-US"/>
        </w:rPr>
        <w:t xml:space="preserve">The Evaluation of Competency-Based Diagnosis System and Curriculum Improvement of Information Management. </w:t>
      </w:r>
      <w:r w:rsidRPr="002A4CE9">
        <w:rPr>
          <w:rFonts w:ascii="Times New Roman" w:hAnsi="Times New Roman" w:cs="Times New Roman"/>
          <w:i/>
          <w:iCs/>
          <w:noProof/>
          <w:sz w:val="24"/>
          <w:szCs w:val="24"/>
          <w:lang w:val="en-US"/>
        </w:rPr>
        <w:lastRenderedPageBreak/>
        <w:t>International Journal of Information and Communication Technology Education (IJICTE) 17(2)</w:t>
      </w:r>
      <w:r w:rsidRPr="002A4CE9">
        <w:rPr>
          <w:rFonts w:ascii="Times New Roman" w:hAnsi="Times New Roman" w:cs="Times New Roman"/>
          <w:noProof/>
          <w:sz w:val="24"/>
          <w:szCs w:val="24"/>
          <w:lang w:val="en-US"/>
        </w:rPr>
        <w:t>, 16.</w:t>
      </w:r>
      <w:r>
        <w:rPr>
          <w:rFonts w:ascii="Times New Roman" w:hAnsi="Times New Roman" w:cs="Times New Roman"/>
          <w:noProof/>
          <w:sz w:val="24"/>
          <w:szCs w:val="24"/>
          <w:lang w:val="en-US"/>
        </w:rPr>
        <w:t xml:space="preserve"> </w:t>
      </w:r>
      <w:r w:rsidRPr="001820FC">
        <w:rPr>
          <w:rFonts w:ascii="Times New Roman" w:hAnsi="Times New Roman" w:cs="Times New Roman"/>
          <w:noProof/>
          <w:sz w:val="24"/>
          <w:szCs w:val="24"/>
          <w:lang w:val="en-US"/>
        </w:rPr>
        <w:t>https://doi.org/</w:t>
      </w:r>
      <w:r w:rsidRPr="00CE76AF">
        <w:rPr>
          <w:rFonts w:ascii="Times New Roman" w:hAnsi="Times New Roman" w:cs="Times New Roman"/>
          <w:noProof/>
          <w:sz w:val="24"/>
          <w:szCs w:val="24"/>
          <w:lang w:val="en-US"/>
        </w:rPr>
        <w:t>10.4018/IJICTE.2021040106</w:t>
      </w:r>
    </w:p>
    <w:p w14:paraId="614B3452" w14:textId="6585BF35" w:rsidR="006A6B82" w:rsidRPr="001820FC" w:rsidRDefault="006A6B82" w:rsidP="006A6B82">
      <w:pPr>
        <w:pStyle w:val="Bibliografa"/>
        <w:spacing w:line="360" w:lineRule="auto"/>
        <w:ind w:left="720" w:hanging="720"/>
        <w:jc w:val="both"/>
        <w:rPr>
          <w:rFonts w:ascii="Times New Roman" w:hAnsi="Times New Roman" w:cs="Times New Roman"/>
          <w:noProof/>
          <w:sz w:val="24"/>
          <w:szCs w:val="24"/>
        </w:rPr>
      </w:pPr>
      <w:r w:rsidRPr="002A4CE9">
        <w:rPr>
          <w:rFonts w:ascii="Times New Roman" w:hAnsi="Times New Roman" w:cs="Times New Roman"/>
          <w:noProof/>
          <w:sz w:val="24"/>
          <w:szCs w:val="24"/>
        </w:rPr>
        <w:t xml:space="preserve">Alzate Montoya, O., Gaviria Giraldo, M., </w:t>
      </w:r>
      <w:r>
        <w:rPr>
          <w:rFonts w:ascii="Times New Roman" w:hAnsi="Times New Roman" w:cs="Times New Roman"/>
          <w:noProof/>
          <w:sz w:val="24"/>
          <w:szCs w:val="24"/>
        </w:rPr>
        <w:t>y</w:t>
      </w:r>
      <w:r w:rsidRPr="002A4CE9">
        <w:rPr>
          <w:rFonts w:ascii="Times New Roman" w:hAnsi="Times New Roman" w:cs="Times New Roman"/>
          <w:noProof/>
          <w:sz w:val="24"/>
          <w:szCs w:val="24"/>
        </w:rPr>
        <w:t xml:space="preserve"> Correa Luna, L. (2019). Impacto de la transformación curricular en el desempeño de los estudiantes de Ingeniería Industrial en su práctica académica. </w:t>
      </w:r>
      <w:r w:rsidRPr="001820FC">
        <w:rPr>
          <w:rFonts w:ascii="Times New Roman" w:hAnsi="Times New Roman" w:cs="Times New Roman"/>
          <w:i/>
          <w:iCs/>
          <w:noProof/>
          <w:sz w:val="24"/>
          <w:szCs w:val="24"/>
        </w:rPr>
        <w:t>EIEI ACOFI, ago. https://doi.org/10.26507/ponencia.102</w:t>
      </w:r>
      <w:r w:rsidRPr="001820FC">
        <w:rPr>
          <w:rFonts w:ascii="Times New Roman" w:hAnsi="Times New Roman" w:cs="Times New Roman"/>
          <w:noProof/>
          <w:sz w:val="24"/>
          <w:szCs w:val="24"/>
        </w:rPr>
        <w:t>.</w:t>
      </w:r>
    </w:p>
    <w:p w14:paraId="2A260534" w14:textId="46C260ED" w:rsidR="000759BF" w:rsidRPr="000759BF" w:rsidRDefault="000759BF" w:rsidP="000759BF">
      <w:pPr>
        <w:pStyle w:val="Bibliografa"/>
        <w:spacing w:line="360" w:lineRule="auto"/>
        <w:ind w:left="720" w:hanging="720"/>
        <w:jc w:val="both"/>
        <w:rPr>
          <w:rFonts w:ascii="Times New Roman" w:hAnsi="Times New Roman" w:cs="Times New Roman"/>
          <w:noProof/>
          <w:sz w:val="24"/>
          <w:szCs w:val="24"/>
        </w:rPr>
      </w:pPr>
      <w:r w:rsidRPr="002A4CE9">
        <w:rPr>
          <w:rFonts w:ascii="Times New Roman" w:hAnsi="Times New Roman" w:cs="Times New Roman"/>
          <w:noProof/>
          <w:sz w:val="24"/>
          <w:szCs w:val="24"/>
        </w:rPr>
        <w:t xml:space="preserve">Apolo Valdivia , P., Núñez Vara, F., Díaz Flores, F., </w:t>
      </w:r>
      <w:r>
        <w:rPr>
          <w:rFonts w:ascii="Times New Roman" w:hAnsi="Times New Roman" w:cs="Times New Roman"/>
          <w:noProof/>
          <w:sz w:val="24"/>
          <w:szCs w:val="24"/>
        </w:rPr>
        <w:t>y</w:t>
      </w:r>
      <w:r w:rsidRPr="002A4CE9">
        <w:rPr>
          <w:rFonts w:ascii="Times New Roman" w:hAnsi="Times New Roman" w:cs="Times New Roman"/>
          <w:noProof/>
          <w:sz w:val="24"/>
          <w:szCs w:val="24"/>
        </w:rPr>
        <w:t xml:space="preserve"> Guizado Oscco, F. (2021). Integração de competências às linhas curriculares da Escola Profissional de Arte. </w:t>
      </w:r>
      <w:r w:rsidRPr="002A4CE9">
        <w:rPr>
          <w:rFonts w:ascii="Times New Roman" w:hAnsi="Times New Roman" w:cs="Times New Roman"/>
          <w:i/>
          <w:iCs/>
          <w:noProof/>
          <w:sz w:val="24"/>
          <w:szCs w:val="24"/>
        </w:rPr>
        <w:t>Revista Tempos E Espaços Em Educação, 14(33), e15613. https://doi.org/10.20952/revtee.v14i33.15613</w:t>
      </w:r>
      <w:r w:rsidRPr="002A4CE9">
        <w:rPr>
          <w:rFonts w:ascii="Times New Roman" w:hAnsi="Times New Roman" w:cs="Times New Roman"/>
          <w:noProof/>
          <w:sz w:val="24"/>
          <w:szCs w:val="24"/>
        </w:rPr>
        <w:t>.</w:t>
      </w:r>
    </w:p>
    <w:p w14:paraId="340F9F71" w14:textId="347F9CF3" w:rsidR="00CE4078" w:rsidRPr="00CE4078" w:rsidRDefault="00CE4078" w:rsidP="00CE4078">
      <w:pPr>
        <w:pStyle w:val="Bibliografa"/>
        <w:spacing w:line="360" w:lineRule="auto"/>
        <w:ind w:left="720" w:hanging="720"/>
        <w:jc w:val="both"/>
        <w:rPr>
          <w:rFonts w:ascii="Times New Roman" w:hAnsi="Times New Roman" w:cs="Times New Roman"/>
          <w:noProof/>
          <w:sz w:val="24"/>
          <w:szCs w:val="24"/>
          <w:lang w:val="en-US"/>
        </w:rPr>
      </w:pPr>
      <w:r w:rsidRPr="002A4CE9">
        <w:rPr>
          <w:rFonts w:ascii="Times New Roman" w:hAnsi="Times New Roman" w:cs="Times New Roman"/>
          <w:noProof/>
          <w:sz w:val="24"/>
          <w:szCs w:val="24"/>
          <w:lang w:val="en-US"/>
        </w:rPr>
        <w:t xml:space="preserve">Andejany, M., Elshennawy, A., Darwish, M., </w:t>
      </w:r>
      <w:r>
        <w:rPr>
          <w:rFonts w:ascii="Times New Roman" w:hAnsi="Times New Roman" w:cs="Times New Roman"/>
          <w:noProof/>
          <w:sz w:val="24"/>
          <w:szCs w:val="24"/>
          <w:lang w:val="en-US"/>
        </w:rPr>
        <w:t>y</w:t>
      </w:r>
      <w:r w:rsidRPr="002A4CE9">
        <w:rPr>
          <w:rFonts w:ascii="Times New Roman" w:hAnsi="Times New Roman" w:cs="Times New Roman"/>
          <w:noProof/>
          <w:sz w:val="24"/>
          <w:szCs w:val="24"/>
          <w:lang w:val="en-US"/>
        </w:rPr>
        <w:t xml:space="preserve"> Bahaitham, H. (2019). Developing an Industrial Engineering Study Plan Using ISM Approach. </w:t>
      </w:r>
      <w:r w:rsidRPr="002A4CE9">
        <w:rPr>
          <w:rFonts w:ascii="Times New Roman" w:hAnsi="Times New Roman" w:cs="Times New Roman"/>
          <w:i/>
          <w:iCs/>
          <w:noProof/>
          <w:sz w:val="24"/>
          <w:szCs w:val="24"/>
          <w:lang w:val="en-US"/>
        </w:rPr>
        <w:t>International Journal of Engineering Pedagogy (iJEP), 9(3). https://doi.org/10.3991/ijep.v9i3.9884</w:t>
      </w:r>
      <w:r w:rsidRPr="002A4CE9">
        <w:rPr>
          <w:rFonts w:ascii="Times New Roman" w:hAnsi="Times New Roman" w:cs="Times New Roman"/>
          <w:noProof/>
          <w:sz w:val="24"/>
          <w:szCs w:val="24"/>
          <w:lang w:val="en-US"/>
        </w:rPr>
        <w:t>, 20-32.</w:t>
      </w:r>
    </w:p>
    <w:p w14:paraId="656514F3" w14:textId="122754A0" w:rsidR="00855533" w:rsidRDefault="00855533" w:rsidP="00855533">
      <w:pPr>
        <w:pStyle w:val="Bibliografa"/>
        <w:spacing w:line="360" w:lineRule="auto"/>
        <w:ind w:left="720" w:hanging="720"/>
        <w:jc w:val="both"/>
        <w:rPr>
          <w:rFonts w:ascii="Times New Roman" w:hAnsi="Times New Roman" w:cs="Times New Roman"/>
          <w:noProof/>
          <w:sz w:val="24"/>
          <w:szCs w:val="24"/>
        </w:rPr>
      </w:pPr>
      <w:r w:rsidRPr="002A4CE9">
        <w:rPr>
          <w:rFonts w:ascii="Times New Roman" w:hAnsi="Times New Roman" w:cs="Times New Roman"/>
          <w:noProof/>
          <w:sz w:val="24"/>
          <w:szCs w:val="24"/>
        </w:rPr>
        <w:t xml:space="preserve">Arquez Polo, M. P., </w:t>
      </w:r>
      <w:r>
        <w:rPr>
          <w:rFonts w:ascii="Times New Roman" w:hAnsi="Times New Roman" w:cs="Times New Roman"/>
          <w:noProof/>
          <w:sz w:val="24"/>
          <w:szCs w:val="24"/>
        </w:rPr>
        <w:t>y</w:t>
      </w:r>
      <w:r w:rsidRPr="002A4CE9">
        <w:rPr>
          <w:rFonts w:ascii="Times New Roman" w:hAnsi="Times New Roman" w:cs="Times New Roman"/>
          <w:noProof/>
          <w:sz w:val="24"/>
          <w:szCs w:val="24"/>
        </w:rPr>
        <w:t xml:space="preserve"> Garzón Ruiz, X. R. (2016). </w:t>
      </w:r>
      <w:r w:rsidRPr="002A4CE9">
        <w:rPr>
          <w:rFonts w:ascii="Times New Roman" w:hAnsi="Times New Roman" w:cs="Times New Roman"/>
          <w:i/>
          <w:iCs/>
          <w:noProof/>
          <w:sz w:val="24"/>
          <w:szCs w:val="24"/>
        </w:rPr>
        <w:t>E</w:t>
      </w:r>
      <w:r>
        <w:rPr>
          <w:rFonts w:ascii="Times New Roman" w:hAnsi="Times New Roman" w:cs="Times New Roman"/>
          <w:i/>
          <w:iCs/>
          <w:noProof/>
          <w:sz w:val="24"/>
          <w:szCs w:val="24"/>
        </w:rPr>
        <w:t>valuación</w:t>
      </w:r>
      <w:r w:rsidRPr="002A4CE9">
        <w:rPr>
          <w:rFonts w:ascii="Times New Roman" w:hAnsi="Times New Roman" w:cs="Times New Roman"/>
          <w:i/>
          <w:iCs/>
          <w:noProof/>
          <w:sz w:val="24"/>
          <w:szCs w:val="24"/>
        </w:rPr>
        <w:t xml:space="preserve"> Y R</w:t>
      </w:r>
      <w:r>
        <w:rPr>
          <w:rFonts w:ascii="Times New Roman" w:hAnsi="Times New Roman" w:cs="Times New Roman"/>
          <w:i/>
          <w:iCs/>
          <w:noProof/>
          <w:sz w:val="24"/>
          <w:szCs w:val="24"/>
        </w:rPr>
        <w:t>e</w:t>
      </w:r>
      <w:r w:rsidRPr="002A4CE9">
        <w:rPr>
          <w:rFonts w:ascii="Times New Roman" w:hAnsi="Times New Roman" w:cs="Times New Roman"/>
          <w:i/>
          <w:iCs/>
          <w:noProof/>
          <w:sz w:val="24"/>
          <w:szCs w:val="24"/>
        </w:rPr>
        <w:t>-</w:t>
      </w:r>
      <w:r>
        <w:rPr>
          <w:rFonts w:ascii="Times New Roman" w:hAnsi="Times New Roman" w:cs="Times New Roman"/>
          <w:i/>
          <w:iCs/>
          <w:noProof/>
          <w:sz w:val="24"/>
          <w:szCs w:val="24"/>
        </w:rPr>
        <w:t>conceptualización</w:t>
      </w:r>
      <w:r w:rsidRPr="002A4CE9">
        <w:rPr>
          <w:rFonts w:ascii="Times New Roman" w:hAnsi="Times New Roman" w:cs="Times New Roman"/>
          <w:i/>
          <w:iCs/>
          <w:noProof/>
          <w:sz w:val="24"/>
          <w:szCs w:val="24"/>
        </w:rPr>
        <w:t xml:space="preserve"> </w:t>
      </w:r>
      <w:r>
        <w:rPr>
          <w:rFonts w:ascii="Times New Roman" w:hAnsi="Times New Roman" w:cs="Times New Roman"/>
          <w:i/>
          <w:iCs/>
          <w:noProof/>
          <w:sz w:val="24"/>
          <w:szCs w:val="24"/>
        </w:rPr>
        <w:t>del campo de formación en Seguridad y Salud en el trabajo, en el plan de estudio del programa de Ingeniería Industrial de la Universidad Tecnológica de Bolívar</w:t>
      </w:r>
      <w:r w:rsidRPr="002A4CE9">
        <w:rPr>
          <w:rFonts w:ascii="Times New Roman" w:hAnsi="Times New Roman" w:cs="Times New Roman"/>
          <w:i/>
          <w:iCs/>
          <w:noProof/>
          <w:sz w:val="24"/>
          <w:szCs w:val="24"/>
        </w:rPr>
        <w:t xml:space="preserve"> </w:t>
      </w:r>
      <w:r w:rsidRPr="008A7E7A">
        <w:rPr>
          <w:rFonts w:ascii="Times New Roman" w:hAnsi="Times New Roman" w:cs="Times New Roman"/>
          <w:noProof/>
          <w:sz w:val="24"/>
          <w:szCs w:val="24"/>
        </w:rPr>
        <w:t>[Tesis de grado,</w:t>
      </w:r>
      <w:r>
        <w:rPr>
          <w:rFonts w:ascii="Times New Roman" w:hAnsi="Times New Roman" w:cs="Times New Roman"/>
          <w:i/>
          <w:iCs/>
          <w:noProof/>
          <w:sz w:val="24"/>
          <w:szCs w:val="24"/>
        </w:rPr>
        <w:t xml:space="preserve"> </w:t>
      </w:r>
      <w:r w:rsidRPr="002A4CE9">
        <w:rPr>
          <w:rFonts w:ascii="Times New Roman" w:hAnsi="Times New Roman" w:cs="Times New Roman"/>
          <w:noProof/>
          <w:sz w:val="24"/>
          <w:szCs w:val="24"/>
        </w:rPr>
        <w:t>Universidad Tecnológica de Bolivar</w:t>
      </w:r>
      <w:r>
        <w:rPr>
          <w:rFonts w:ascii="Times New Roman" w:hAnsi="Times New Roman" w:cs="Times New Roman"/>
          <w:noProof/>
          <w:sz w:val="24"/>
          <w:szCs w:val="24"/>
        </w:rPr>
        <w:t>]</w:t>
      </w:r>
      <w:r w:rsidRPr="002A4CE9">
        <w:rPr>
          <w:rFonts w:ascii="Times New Roman" w:hAnsi="Times New Roman" w:cs="Times New Roman"/>
          <w:noProof/>
          <w:sz w:val="24"/>
          <w:szCs w:val="24"/>
        </w:rPr>
        <w:t>.</w:t>
      </w:r>
      <w:r w:rsidRPr="008A7E7A">
        <w:t xml:space="preserve"> </w:t>
      </w:r>
      <w:r w:rsidRPr="008A7E7A">
        <w:rPr>
          <w:rFonts w:ascii="Times New Roman" w:hAnsi="Times New Roman" w:cs="Times New Roman"/>
          <w:noProof/>
          <w:sz w:val="24"/>
          <w:szCs w:val="24"/>
        </w:rPr>
        <w:t>https://hdl.handle.net/20.500.12585/2892</w:t>
      </w:r>
    </w:p>
    <w:p w14:paraId="09E62697" w14:textId="4A80D3C6" w:rsidR="00D558C6" w:rsidRDefault="00D558C6" w:rsidP="00D558C6">
      <w:pPr>
        <w:pStyle w:val="Bibliografa"/>
        <w:spacing w:line="360" w:lineRule="auto"/>
        <w:ind w:left="720" w:hanging="720"/>
        <w:jc w:val="both"/>
        <w:rPr>
          <w:rFonts w:ascii="Times New Roman" w:hAnsi="Times New Roman" w:cs="Times New Roman"/>
          <w:noProof/>
          <w:sz w:val="24"/>
          <w:szCs w:val="24"/>
          <w:lang w:val="en-US"/>
        </w:rPr>
      </w:pPr>
      <w:r w:rsidRPr="001820FC">
        <w:rPr>
          <w:rFonts w:ascii="Times New Roman" w:hAnsi="Times New Roman" w:cs="Times New Roman"/>
          <w:noProof/>
          <w:sz w:val="24"/>
          <w:szCs w:val="24"/>
        </w:rPr>
        <w:t xml:space="preserve">Buyurgan, N., y Kiassat, C. (2017). </w:t>
      </w:r>
      <w:r w:rsidRPr="002A4CE9">
        <w:rPr>
          <w:rFonts w:ascii="Times New Roman" w:hAnsi="Times New Roman" w:cs="Times New Roman"/>
          <w:noProof/>
          <w:sz w:val="24"/>
          <w:szCs w:val="24"/>
          <w:lang w:val="en-US"/>
        </w:rPr>
        <w:t xml:space="preserve">Developing a new industrial engineering curriculum using a systems engineering approach. </w:t>
      </w:r>
      <w:r w:rsidRPr="002A4CE9">
        <w:rPr>
          <w:rFonts w:ascii="Times New Roman" w:hAnsi="Times New Roman" w:cs="Times New Roman"/>
          <w:i/>
          <w:iCs/>
          <w:noProof/>
          <w:sz w:val="24"/>
          <w:szCs w:val="24"/>
          <w:lang w:val="en-US"/>
        </w:rPr>
        <w:t>European Journal of Engineering Education, 42:6</w:t>
      </w:r>
      <w:r w:rsidRPr="002A4CE9">
        <w:rPr>
          <w:rFonts w:ascii="Times New Roman" w:hAnsi="Times New Roman" w:cs="Times New Roman"/>
          <w:noProof/>
          <w:sz w:val="24"/>
          <w:szCs w:val="24"/>
          <w:lang w:val="en-US"/>
        </w:rPr>
        <w:t>, 1263-1276. https://doi.org/10.1080/03043797.2017.1287665</w:t>
      </w:r>
    </w:p>
    <w:p w14:paraId="4B493768" w14:textId="5ABBF97E" w:rsidR="00943FA4" w:rsidRPr="00943FA4" w:rsidRDefault="00943FA4" w:rsidP="00943FA4">
      <w:pPr>
        <w:pStyle w:val="Bibliografa"/>
        <w:spacing w:line="360" w:lineRule="auto"/>
        <w:ind w:left="720" w:hanging="720"/>
        <w:jc w:val="both"/>
        <w:rPr>
          <w:rFonts w:ascii="Times New Roman" w:hAnsi="Times New Roman" w:cs="Times New Roman"/>
          <w:noProof/>
          <w:sz w:val="24"/>
          <w:szCs w:val="24"/>
        </w:rPr>
      </w:pPr>
      <w:r w:rsidRPr="001820FC">
        <w:rPr>
          <w:rFonts w:ascii="Times New Roman" w:hAnsi="Times New Roman" w:cs="Times New Roman"/>
          <w:noProof/>
          <w:sz w:val="24"/>
          <w:szCs w:val="24"/>
          <w:lang w:val="en-US"/>
        </w:rPr>
        <w:t xml:space="preserve">Carrillo Cayllahua, J., Cóndor Salvatierra, E., Oré Rojas, J. J., y Gonzales Castro, A. (2022). </w:t>
      </w:r>
      <w:r w:rsidRPr="002A4CE9">
        <w:rPr>
          <w:rFonts w:ascii="Times New Roman" w:hAnsi="Times New Roman" w:cs="Times New Roman"/>
          <w:noProof/>
          <w:sz w:val="24"/>
          <w:szCs w:val="24"/>
        </w:rPr>
        <w:t xml:space="preserve">Evaluación curricular de un programa de estudios en una Universidad Pública Peruana. </w:t>
      </w:r>
      <w:r w:rsidRPr="002A4CE9">
        <w:rPr>
          <w:rFonts w:ascii="Times New Roman" w:hAnsi="Times New Roman" w:cs="Times New Roman"/>
          <w:i/>
          <w:iCs/>
          <w:noProof/>
          <w:sz w:val="24"/>
          <w:szCs w:val="24"/>
        </w:rPr>
        <w:t>Revista Universidad y Sociedad, 14(S1)</w:t>
      </w:r>
      <w:r w:rsidRPr="002A4CE9">
        <w:rPr>
          <w:rFonts w:ascii="Times New Roman" w:hAnsi="Times New Roman" w:cs="Times New Roman"/>
          <w:noProof/>
          <w:sz w:val="24"/>
          <w:szCs w:val="24"/>
        </w:rPr>
        <w:t>, 161-171.</w:t>
      </w:r>
      <w:r>
        <w:rPr>
          <w:rFonts w:ascii="Times New Roman" w:hAnsi="Times New Roman" w:cs="Times New Roman"/>
          <w:noProof/>
          <w:sz w:val="24"/>
          <w:szCs w:val="24"/>
        </w:rPr>
        <w:t xml:space="preserve"> </w:t>
      </w:r>
      <w:r w:rsidRPr="00C86BCC">
        <w:rPr>
          <w:rFonts w:ascii="Times New Roman" w:hAnsi="Times New Roman" w:cs="Times New Roman"/>
          <w:noProof/>
          <w:sz w:val="24"/>
          <w:szCs w:val="24"/>
        </w:rPr>
        <w:t>https://rus.ucf.edu.cu/index.php/rus/article/view/2652</w:t>
      </w:r>
    </w:p>
    <w:p w14:paraId="466AB2CA" w14:textId="5B558194" w:rsidR="00E828D1" w:rsidRDefault="00E828D1" w:rsidP="00E828D1">
      <w:pPr>
        <w:pStyle w:val="Bibliografa"/>
        <w:spacing w:line="360" w:lineRule="auto"/>
        <w:ind w:left="720" w:hanging="720"/>
        <w:jc w:val="both"/>
        <w:rPr>
          <w:rFonts w:ascii="Times New Roman" w:hAnsi="Times New Roman" w:cs="Times New Roman"/>
          <w:i/>
          <w:iCs/>
          <w:noProof/>
          <w:sz w:val="24"/>
          <w:szCs w:val="24"/>
          <w:lang w:val="es-ES"/>
        </w:rPr>
      </w:pPr>
      <w:r w:rsidRPr="007E6D00">
        <w:rPr>
          <w:rFonts w:ascii="Times New Roman" w:hAnsi="Times New Roman" w:cs="Times New Roman"/>
          <w:noProof/>
          <w:sz w:val="24"/>
          <w:szCs w:val="24"/>
          <w:lang w:val="es-ES"/>
        </w:rPr>
        <w:t>Chávez-Zamb</w:t>
      </w:r>
      <w:r>
        <w:rPr>
          <w:rFonts w:ascii="Times New Roman" w:hAnsi="Times New Roman" w:cs="Times New Roman"/>
          <w:noProof/>
          <w:sz w:val="24"/>
          <w:szCs w:val="24"/>
          <w:lang w:val="es-ES"/>
        </w:rPr>
        <w:t>r</w:t>
      </w:r>
      <w:r w:rsidRPr="007E6D00">
        <w:rPr>
          <w:rFonts w:ascii="Times New Roman" w:hAnsi="Times New Roman" w:cs="Times New Roman"/>
          <w:noProof/>
          <w:sz w:val="24"/>
          <w:szCs w:val="24"/>
          <w:lang w:val="es-ES"/>
        </w:rPr>
        <w:t xml:space="preserve">ano, M., Saltos-Vivas, M., </w:t>
      </w:r>
      <w:r>
        <w:rPr>
          <w:rFonts w:ascii="Times New Roman" w:hAnsi="Times New Roman" w:cs="Times New Roman"/>
          <w:noProof/>
          <w:sz w:val="24"/>
          <w:szCs w:val="24"/>
          <w:lang w:val="es-ES"/>
        </w:rPr>
        <w:t>y</w:t>
      </w:r>
      <w:r w:rsidRPr="007E6D00">
        <w:rPr>
          <w:rFonts w:ascii="Times New Roman" w:hAnsi="Times New Roman" w:cs="Times New Roman"/>
          <w:noProof/>
          <w:sz w:val="24"/>
          <w:szCs w:val="24"/>
          <w:lang w:val="es-ES"/>
        </w:rPr>
        <w:t xml:space="preserve"> Saltos-Dueñas, C. (2017). La importancia del aprendizaje y conocimiento del idioma inglés en la enseñanza superior. </w:t>
      </w:r>
      <w:r>
        <w:rPr>
          <w:rFonts w:ascii="Times New Roman" w:hAnsi="Times New Roman" w:cs="Times New Roman"/>
          <w:i/>
          <w:iCs/>
          <w:noProof/>
          <w:sz w:val="24"/>
          <w:szCs w:val="24"/>
          <w:lang w:val="es-ES"/>
        </w:rPr>
        <w:t xml:space="preserve">Dominio de las ciencias </w:t>
      </w:r>
      <w:r w:rsidRPr="009223FB">
        <w:rPr>
          <w:rFonts w:ascii="Times New Roman" w:hAnsi="Times New Roman" w:cs="Times New Roman"/>
          <w:i/>
          <w:iCs/>
          <w:noProof/>
          <w:sz w:val="24"/>
          <w:szCs w:val="24"/>
          <w:lang w:val="es-ES"/>
        </w:rPr>
        <w:t>ISSN-e 2477-8818, Vol. 3, Nº. Extra 3</w:t>
      </w:r>
      <w:r>
        <w:rPr>
          <w:rFonts w:ascii="Times New Roman" w:hAnsi="Times New Roman" w:cs="Times New Roman"/>
          <w:i/>
          <w:iCs/>
          <w:noProof/>
          <w:sz w:val="24"/>
          <w:szCs w:val="24"/>
          <w:lang w:val="es-ES"/>
        </w:rPr>
        <w:t xml:space="preserve">, </w:t>
      </w:r>
      <w:r w:rsidRPr="009223FB">
        <w:rPr>
          <w:rFonts w:ascii="Times New Roman" w:hAnsi="Times New Roman" w:cs="Times New Roman"/>
          <w:i/>
          <w:iCs/>
          <w:noProof/>
          <w:sz w:val="24"/>
          <w:szCs w:val="24"/>
          <w:lang w:val="es-ES"/>
        </w:rPr>
        <w:t>759-771</w:t>
      </w:r>
      <w:r>
        <w:rPr>
          <w:rFonts w:ascii="Times New Roman" w:hAnsi="Times New Roman" w:cs="Times New Roman"/>
          <w:i/>
          <w:iCs/>
          <w:noProof/>
          <w:sz w:val="24"/>
          <w:szCs w:val="24"/>
          <w:lang w:val="es-ES"/>
        </w:rPr>
        <w:t>.</w:t>
      </w:r>
      <w:r w:rsidRPr="007E6D00">
        <w:rPr>
          <w:rFonts w:ascii="Times New Roman" w:hAnsi="Times New Roman" w:cs="Times New Roman"/>
          <w:i/>
          <w:iCs/>
          <w:noProof/>
          <w:sz w:val="24"/>
          <w:szCs w:val="24"/>
          <w:lang w:val="es-ES"/>
        </w:rPr>
        <w:t xml:space="preserve"> </w:t>
      </w:r>
      <w:r w:rsidRPr="008B179B">
        <w:rPr>
          <w:rFonts w:ascii="Times New Roman" w:hAnsi="Times New Roman" w:cs="Times New Roman"/>
          <w:i/>
          <w:iCs/>
          <w:noProof/>
          <w:sz w:val="24"/>
          <w:szCs w:val="24"/>
          <w:lang w:val="es-ES"/>
        </w:rPr>
        <w:t>https://dialnet.unirioja.es/servlet/articulo?codigo=6234740</w:t>
      </w:r>
    </w:p>
    <w:p w14:paraId="7A5900A0" w14:textId="07D68AA2" w:rsidR="007B6F9D" w:rsidRPr="007B6F9D" w:rsidRDefault="007B6F9D" w:rsidP="007B6F9D">
      <w:pPr>
        <w:pStyle w:val="Bibliografa"/>
        <w:spacing w:line="360" w:lineRule="auto"/>
        <w:ind w:left="720" w:hanging="720"/>
        <w:jc w:val="both"/>
        <w:rPr>
          <w:rFonts w:ascii="Times New Roman" w:hAnsi="Times New Roman" w:cs="Times New Roman"/>
          <w:noProof/>
          <w:sz w:val="24"/>
          <w:szCs w:val="24"/>
          <w:lang w:val="en-US"/>
        </w:rPr>
      </w:pPr>
      <w:r w:rsidRPr="001820FC">
        <w:rPr>
          <w:rFonts w:ascii="Times New Roman" w:hAnsi="Times New Roman" w:cs="Times New Roman"/>
          <w:noProof/>
          <w:sz w:val="24"/>
          <w:szCs w:val="24"/>
          <w:lang w:val="en-US"/>
        </w:rPr>
        <w:lastRenderedPageBreak/>
        <w:t xml:space="preserve">Chen, S., Hsu, I., y Wu, C.-M. (2009). </w:t>
      </w:r>
      <w:r w:rsidRPr="002A4CE9">
        <w:rPr>
          <w:rFonts w:ascii="Times New Roman" w:hAnsi="Times New Roman" w:cs="Times New Roman"/>
          <w:noProof/>
          <w:sz w:val="24"/>
          <w:szCs w:val="24"/>
          <w:lang w:val="en-US"/>
        </w:rPr>
        <w:t xml:space="preserve">Evaluation of undergraduate curriculum reform for interdisciplinary learning. </w:t>
      </w:r>
      <w:r w:rsidRPr="002A4CE9">
        <w:rPr>
          <w:rFonts w:ascii="Times New Roman" w:hAnsi="Times New Roman" w:cs="Times New Roman"/>
          <w:i/>
          <w:iCs/>
          <w:noProof/>
          <w:sz w:val="24"/>
          <w:szCs w:val="24"/>
          <w:lang w:val="en-US"/>
        </w:rPr>
        <w:t>Teaching in Higher Education</w:t>
      </w:r>
      <w:r>
        <w:rPr>
          <w:rFonts w:ascii="Times New Roman" w:hAnsi="Times New Roman" w:cs="Times New Roman"/>
          <w:i/>
          <w:iCs/>
          <w:noProof/>
          <w:sz w:val="24"/>
          <w:szCs w:val="24"/>
          <w:lang w:val="en-US"/>
        </w:rPr>
        <w:t>, 161-173.</w:t>
      </w:r>
      <w:r w:rsidRPr="002A4CE9">
        <w:rPr>
          <w:rFonts w:ascii="Times New Roman" w:hAnsi="Times New Roman" w:cs="Times New Roman"/>
          <w:i/>
          <w:iCs/>
          <w:noProof/>
          <w:sz w:val="24"/>
          <w:szCs w:val="24"/>
          <w:lang w:val="en-US"/>
        </w:rPr>
        <w:t xml:space="preserve"> https://doi.org/10.1080/13562510902757203</w:t>
      </w:r>
    </w:p>
    <w:p w14:paraId="04979BA4" w14:textId="1B6033AD" w:rsidR="00361D31" w:rsidRPr="00361D31" w:rsidRDefault="002615FC" w:rsidP="00361D31">
      <w:pPr>
        <w:pStyle w:val="Bibliografa"/>
        <w:spacing w:line="360" w:lineRule="auto"/>
        <w:ind w:left="720" w:hanging="720"/>
        <w:jc w:val="both"/>
        <w:rPr>
          <w:rFonts w:ascii="Times New Roman" w:hAnsi="Times New Roman" w:cs="Times New Roman"/>
          <w:noProof/>
          <w:sz w:val="24"/>
          <w:szCs w:val="24"/>
        </w:rPr>
      </w:pPr>
      <w:r w:rsidRPr="001820FC">
        <w:rPr>
          <w:rFonts w:ascii="Times New Roman" w:hAnsi="Times New Roman" w:cs="Times New Roman"/>
          <w:noProof/>
          <w:sz w:val="24"/>
          <w:szCs w:val="24"/>
          <w:lang w:val="en-US"/>
        </w:rPr>
        <w:t>G</w:t>
      </w:r>
      <w:r w:rsidR="00361D31" w:rsidRPr="001820FC">
        <w:rPr>
          <w:rFonts w:ascii="Times New Roman" w:hAnsi="Times New Roman" w:cs="Times New Roman"/>
          <w:noProof/>
          <w:sz w:val="24"/>
          <w:szCs w:val="24"/>
          <w:lang w:val="en-US"/>
        </w:rPr>
        <w:t xml:space="preserve">onzález García, V. (2022). </w:t>
      </w:r>
      <w:r w:rsidR="00361D31" w:rsidRPr="002A4CE9">
        <w:rPr>
          <w:rFonts w:ascii="Times New Roman" w:hAnsi="Times New Roman" w:cs="Times New Roman"/>
          <w:noProof/>
          <w:sz w:val="24"/>
          <w:szCs w:val="24"/>
        </w:rPr>
        <w:t xml:space="preserve">Agencias acreditadoras de carreras en la Universidad de Costa Rica: sus modelos de autoevaluación. </w:t>
      </w:r>
      <w:r w:rsidR="00361D31" w:rsidRPr="002A4CE9">
        <w:rPr>
          <w:rFonts w:ascii="Times New Roman" w:hAnsi="Times New Roman" w:cs="Times New Roman"/>
          <w:i/>
          <w:iCs/>
          <w:noProof/>
          <w:sz w:val="24"/>
          <w:szCs w:val="24"/>
        </w:rPr>
        <w:t xml:space="preserve">Revista electrónica calidad en la educación superior, Volumen 13, Número 1, </w:t>
      </w:r>
      <w:r w:rsidR="00361D31">
        <w:rPr>
          <w:rFonts w:ascii="Times New Roman" w:hAnsi="Times New Roman" w:cs="Times New Roman"/>
          <w:i/>
          <w:iCs/>
          <w:noProof/>
          <w:sz w:val="24"/>
          <w:szCs w:val="24"/>
        </w:rPr>
        <w:t xml:space="preserve">189-225. </w:t>
      </w:r>
      <w:r w:rsidR="00361D31" w:rsidRPr="003D3F91">
        <w:rPr>
          <w:rFonts w:ascii="Times New Roman" w:hAnsi="Times New Roman" w:cs="Times New Roman"/>
          <w:i/>
          <w:iCs/>
          <w:noProof/>
          <w:sz w:val="24"/>
          <w:szCs w:val="24"/>
        </w:rPr>
        <w:t>https://doi.org/10.22458/caes.v13i1.3696</w:t>
      </w:r>
    </w:p>
    <w:p w14:paraId="1B7B62C0" w14:textId="58FF3459" w:rsidR="00FA5D40" w:rsidRDefault="00FA5D40" w:rsidP="00FA5D40">
      <w:pPr>
        <w:pStyle w:val="Bibliografa"/>
        <w:spacing w:line="360" w:lineRule="auto"/>
        <w:ind w:left="720" w:hanging="720"/>
        <w:jc w:val="both"/>
        <w:rPr>
          <w:rFonts w:ascii="Times New Roman" w:hAnsi="Times New Roman" w:cs="Times New Roman"/>
          <w:noProof/>
          <w:sz w:val="24"/>
          <w:szCs w:val="24"/>
          <w:lang w:val="en-US"/>
        </w:rPr>
      </w:pPr>
      <w:r w:rsidRPr="002A4CE9">
        <w:rPr>
          <w:rFonts w:ascii="Times New Roman" w:hAnsi="Times New Roman" w:cs="Times New Roman"/>
          <w:noProof/>
          <w:sz w:val="24"/>
          <w:szCs w:val="24"/>
          <w:lang w:val="en-US"/>
        </w:rPr>
        <w:t xml:space="preserve">Institute of Industrial &amp; Systems Engineers. (2021). </w:t>
      </w:r>
      <w:r w:rsidRPr="002A4CE9">
        <w:rPr>
          <w:rFonts w:ascii="Times New Roman" w:hAnsi="Times New Roman" w:cs="Times New Roman"/>
          <w:i/>
          <w:iCs/>
          <w:noProof/>
          <w:sz w:val="24"/>
          <w:szCs w:val="24"/>
          <w:lang w:val="en-US"/>
        </w:rPr>
        <w:t>Body of knowledge</w:t>
      </w:r>
      <w:r w:rsidRPr="002A4CE9">
        <w:rPr>
          <w:rFonts w:ascii="Times New Roman" w:hAnsi="Times New Roman" w:cs="Times New Roman"/>
          <w:noProof/>
          <w:sz w:val="24"/>
          <w:szCs w:val="24"/>
          <w:lang w:val="en-US"/>
        </w:rPr>
        <w:t>.  https://www.iise.org/Details.aspx?id=43631</w:t>
      </w:r>
    </w:p>
    <w:p w14:paraId="51882135" w14:textId="223025BB" w:rsidR="00E12263" w:rsidRPr="00E12263" w:rsidRDefault="00E12263" w:rsidP="00E12263">
      <w:pPr>
        <w:pStyle w:val="Bibliografa"/>
        <w:spacing w:line="360" w:lineRule="auto"/>
        <w:ind w:left="720" w:hanging="720"/>
        <w:jc w:val="both"/>
        <w:rPr>
          <w:rFonts w:ascii="Times New Roman" w:hAnsi="Times New Roman" w:cs="Times New Roman"/>
          <w:noProof/>
          <w:sz w:val="24"/>
          <w:szCs w:val="24"/>
        </w:rPr>
      </w:pPr>
      <w:r w:rsidRPr="002A4CE9">
        <w:rPr>
          <w:rFonts w:ascii="Times New Roman" w:hAnsi="Times New Roman" w:cs="Times New Roman"/>
          <w:noProof/>
          <w:sz w:val="24"/>
          <w:szCs w:val="24"/>
        </w:rPr>
        <w:t xml:space="preserve">Montenegro Martínez, I. (2022). Experiencia de innovación curricular chilena en la carrera de Derecho de la Universidad Academia de Humanismo Cristiano. </w:t>
      </w:r>
      <w:r w:rsidRPr="002A4CE9">
        <w:rPr>
          <w:rFonts w:ascii="Times New Roman" w:hAnsi="Times New Roman" w:cs="Times New Roman"/>
          <w:i/>
          <w:iCs/>
          <w:noProof/>
          <w:sz w:val="24"/>
          <w:szCs w:val="24"/>
        </w:rPr>
        <w:t>Revista Pedagogía Universitaria y Didáctica del Derecho, Vol. 9 Núm. 1</w:t>
      </w:r>
      <w:r>
        <w:rPr>
          <w:rFonts w:ascii="Times New Roman" w:hAnsi="Times New Roman" w:cs="Times New Roman"/>
          <w:i/>
          <w:iCs/>
          <w:noProof/>
          <w:sz w:val="24"/>
          <w:szCs w:val="24"/>
        </w:rPr>
        <w:t>, 191-204</w:t>
      </w:r>
      <w:r w:rsidRPr="002A4CE9">
        <w:rPr>
          <w:rFonts w:ascii="Times New Roman" w:hAnsi="Times New Roman" w:cs="Times New Roman"/>
          <w:i/>
          <w:iCs/>
          <w:noProof/>
          <w:sz w:val="24"/>
          <w:szCs w:val="24"/>
        </w:rPr>
        <w:t xml:space="preserve">. </w:t>
      </w:r>
      <w:r w:rsidRPr="0021580A">
        <w:rPr>
          <w:rFonts w:ascii="Times New Roman" w:hAnsi="Times New Roman" w:cs="Times New Roman"/>
          <w:i/>
          <w:iCs/>
          <w:noProof/>
          <w:sz w:val="24"/>
          <w:szCs w:val="24"/>
        </w:rPr>
        <w:t>https://doi.org/10.5354/0719-5885.2022.64173</w:t>
      </w:r>
    </w:p>
    <w:p w14:paraId="323D5480" w14:textId="132304DE" w:rsidR="00370110" w:rsidRPr="001820FC" w:rsidRDefault="00370110" w:rsidP="00B31C44">
      <w:pPr>
        <w:pStyle w:val="Bibliografa"/>
        <w:spacing w:line="360" w:lineRule="auto"/>
        <w:ind w:left="720" w:hanging="720"/>
        <w:jc w:val="both"/>
        <w:rPr>
          <w:rFonts w:ascii="Times New Roman" w:hAnsi="Times New Roman" w:cs="Times New Roman"/>
          <w:noProof/>
          <w:sz w:val="24"/>
          <w:szCs w:val="24"/>
        </w:rPr>
      </w:pPr>
      <w:r w:rsidRPr="001820FC">
        <w:rPr>
          <w:rFonts w:ascii="Times New Roman" w:hAnsi="Times New Roman" w:cs="Times New Roman"/>
          <w:noProof/>
          <w:sz w:val="24"/>
          <w:szCs w:val="24"/>
        </w:rPr>
        <w:t xml:space="preserve">Rangel Espejo, Y. K., y Duque Duque, D. A. (2020). </w:t>
      </w:r>
      <w:r w:rsidRPr="001820FC">
        <w:rPr>
          <w:rFonts w:ascii="Times New Roman" w:hAnsi="Times New Roman" w:cs="Times New Roman"/>
          <w:i/>
          <w:iCs/>
          <w:noProof/>
          <w:sz w:val="24"/>
          <w:szCs w:val="24"/>
        </w:rPr>
        <w:t>Estudio comparativo del programa de ingeniería industrial de la Universidad católica de Colombia con universidades a nivel Europa, Asia, América, Oceanía y África</w:t>
      </w:r>
      <w:r w:rsidRPr="001820FC">
        <w:rPr>
          <w:rFonts w:ascii="Times New Roman" w:hAnsi="Times New Roman" w:cs="Times New Roman"/>
          <w:noProof/>
          <w:sz w:val="24"/>
          <w:szCs w:val="24"/>
        </w:rPr>
        <w:t xml:space="preserve"> [Tesis de grado, Universidad Católica de Colombia]. Repositorio institucional de la Universidad Católica de Colombia. https://hdl.handle.net/10983/25342</w:t>
      </w:r>
    </w:p>
    <w:p w14:paraId="417E8586" w14:textId="2025AE2D" w:rsidR="00DE395A" w:rsidRDefault="00DE395A" w:rsidP="00DE395A">
      <w:pPr>
        <w:pStyle w:val="Bibliografa"/>
        <w:spacing w:line="360" w:lineRule="auto"/>
        <w:ind w:left="720" w:hanging="720"/>
        <w:jc w:val="both"/>
        <w:rPr>
          <w:rFonts w:ascii="Times New Roman" w:hAnsi="Times New Roman" w:cs="Times New Roman"/>
          <w:noProof/>
          <w:sz w:val="24"/>
          <w:szCs w:val="24"/>
        </w:rPr>
      </w:pPr>
      <w:r w:rsidRPr="002A4CE9">
        <w:rPr>
          <w:rFonts w:ascii="Times New Roman" w:hAnsi="Times New Roman" w:cs="Times New Roman"/>
          <w:noProof/>
          <w:sz w:val="24"/>
          <w:szCs w:val="24"/>
        </w:rPr>
        <w:t xml:space="preserve">Ríos Jaramillo, L. M. (2012). </w:t>
      </w:r>
      <w:r w:rsidRPr="002A4CE9">
        <w:rPr>
          <w:rFonts w:ascii="Times New Roman" w:hAnsi="Times New Roman" w:cs="Times New Roman"/>
          <w:i/>
          <w:iCs/>
          <w:noProof/>
          <w:sz w:val="24"/>
          <w:szCs w:val="24"/>
        </w:rPr>
        <w:t>Análisis comparativo de los programas de pregrado en Ingeniería Industrial en algunos paises miembros de la OEA</w:t>
      </w:r>
      <w:r>
        <w:rPr>
          <w:rFonts w:ascii="Times New Roman" w:hAnsi="Times New Roman" w:cs="Times New Roman"/>
          <w:i/>
          <w:iCs/>
          <w:noProof/>
          <w:sz w:val="24"/>
          <w:szCs w:val="24"/>
        </w:rPr>
        <w:t xml:space="preserve"> </w:t>
      </w:r>
      <w:r w:rsidRPr="008570B7">
        <w:rPr>
          <w:rFonts w:ascii="Times New Roman" w:hAnsi="Times New Roman" w:cs="Times New Roman"/>
          <w:noProof/>
          <w:sz w:val="24"/>
          <w:szCs w:val="24"/>
        </w:rPr>
        <w:t xml:space="preserve">[Tesis de maestría, </w:t>
      </w:r>
      <w:r w:rsidRPr="002A4CE9">
        <w:rPr>
          <w:rFonts w:ascii="Times New Roman" w:hAnsi="Times New Roman" w:cs="Times New Roman"/>
          <w:noProof/>
          <w:sz w:val="24"/>
          <w:szCs w:val="24"/>
        </w:rPr>
        <w:t>Universidad Pontificia Bolivariana</w:t>
      </w:r>
      <w:r>
        <w:rPr>
          <w:rFonts w:ascii="Times New Roman" w:hAnsi="Times New Roman" w:cs="Times New Roman"/>
          <w:noProof/>
          <w:sz w:val="24"/>
          <w:szCs w:val="24"/>
        </w:rPr>
        <w:t>, Medellín]</w:t>
      </w:r>
      <w:r w:rsidRPr="002A4CE9">
        <w:rPr>
          <w:rFonts w:ascii="Times New Roman" w:hAnsi="Times New Roman" w:cs="Times New Roman"/>
          <w:noProof/>
          <w:sz w:val="24"/>
          <w:szCs w:val="24"/>
        </w:rPr>
        <w:t>.</w:t>
      </w:r>
      <w:r>
        <w:rPr>
          <w:rFonts w:ascii="Times New Roman" w:hAnsi="Times New Roman" w:cs="Times New Roman"/>
          <w:noProof/>
          <w:sz w:val="24"/>
          <w:szCs w:val="24"/>
        </w:rPr>
        <w:t xml:space="preserve"> </w:t>
      </w:r>
      <w:r w:rsidRPr="00D22D1C">
        <w:rPr>
          <w:rFonts w:ascii="Times New Roman" w:hAnsi="Times New Roman" w:cs="Times New Roman"/>
          <w:noProof/>
          <w:sz w:val="24"/>
          <w:szCs w:val="24"/>
        </w:rPr>
        <w:t>http://hdl.handle.net/20.500.11912/2516</w:t>
      </w:r>
    </w:p>
    <w:p w14:paraId="6097BDDA" w14:textId="5C5898F4" w:rsidR="00EC275D" w:rsidRPr="00EC275D" w:rsidRDefault="00EC275D" w:rsidP="00EC275D">
      <w:pPr>
        <w:pStyle w:val="Bibliografa"/>
        <w:spacing w:line="360" w:lineRule="auto"/>
        <w:ind w:left="720" w:hanging="720"/>
        <w:jc w:val="both"/>
        <w:rPr>
          <w:rFonts w:ascii="Times New Roman" w:hAnsi="Times New Roman" w:cs="Times New Roman"/>
          <w:noProof/>
          <w:sz w:val="24"/>
          <w:szCs w:val="24"/>
          <w:lang w:val="en-US"/>
        </w:rPr>
      </w:pPr>
      <w:r w:rsidRPr="002A4CE9">
        <w:rPr>
          <w:rFonts w:ascii="Times New Roman" w:hAnsi="Times New Roman" w:cs="Times New Roman"/>
          <w:noProof/>
          <w:sz w:val="24"/>
          <w:szCs w:val="24"/>
        </w:rPr>
        <w:t xml:space="preserve">Sánchez, A., Gonzalez-Gaya, C., Zulueta, P., </w:t>
      </w:r>
      <w:r>
        <w:rPr>
          <w:rFonts w:ascii="Times New Roman" w:hAnsi="Times New Roman" w:cs="Times New Roman"/>
          <w:noProof/>
          <w:sz w:val="24"/>
          <w:szCs w:val="24"/>
        </w:rPr>
        <w:t>y</w:t>
      </w:r>
      <w:r w:rsidRPr="002A4CE9">
        <w:rPr>
          <w:rFonts w:ascii="Times New Roman" w:hAnsi="Times New Roman" w:cs="Times New Roman"/>
          <w:noProof/>
          <w:sz w:val="24"/>
          <w:szCs w:val="24"/>
        </w:rPr>
        <w:t xml:space="preserve"> Sampaio, Z. (2019). </w:t>
      </w:r>
      <w:r w:rsidRPr="002A4CE9">
        <w:rPr>
          <w:rFonts w:ascii="Times New Roman" w:hAnsi="Times New Roman" w:cs="Times New Roman"/>
          <w:noProof/>
          <w:sz w:val="24"/>
          <w:szCs w:val="24"/>
          <w:lang w:val="en-US"/>
        </w:rPr>
        <w:t xml:space="preserve">Introduction of Building Information Modeling in Industrial Engineering Education: Students’ Perception. </w:t>
      </w:r>
      <w:r w:rsidRPr="002A4CE9">
        <w:rPr>
          <w:rFonts w:ascii="Times New Roman" w:hAnsi="Times New Roman" w:cs="Times New Roman"/>
          <w:i/>
          <w:iCs/>
          <w:noProof/>
          <w:sz w:val="24"/>
          <w:szCs w:val="24"/>
          <w:lang w:val="en-US"/>
        </w:rPr>
        <w:t>Applied Sciences, 9(16), 3287. https://doi.org/10.3390/app9163287</w:t>
      </w:r>
      <w:r w:rsidRPr="002A4CE9">
        <w:rPr>
          <w:rFonts w:ascii="Times New Roman" w:hAnsi="Times New Roman" w:cs="Times New Roman"/>
          <w:noProof/>
          <w:sz w:val="24"/>
          <w:szCs w:val="24"/>
          <w:lang w:val="en-US"/>
        </w:rPr>
        <w:t>.</w:t>
      </w:r>
    </w:p>
    <w:p w14:paraId="66F50FA1" w14:textId="3433C984" w:rsidR="00CB6845" w:rsidRDefault="00CB6845" w:rsidP="00CB6845">
      <w:pPr>
        <w:pStyle w:val="Bibliografa"/>
        <w:spacing w:line="360" w:lineRule="auto"/>
        <w:ind w:left="720" w:hanging="720"/>
        <w:jc w:val="both"/>
        <w:rPr>
          <w:rFonts w:ascii="Times New Roman" w:hAnsi="Times New Roman" w:cs="Times New Roman"/>
          <w:noProof/>
          <w:sz w:val="24"/>
          <w:szCs w:val="24"/>
        </w:rPr>
      </w:pPr>
      <w:r w:rsidRPr="001820FC">
        <w:rPr>
          <w:rFonts w:ascii="Times New Roman" w:hAnsi="Times New Roman" w:cs="Times New Roman"/>
          <w:noProof/>
          <w:sz w:val="24"/>
          <w:szCs w:val="24"/>
          <w:lang w:val="en-US"/>
        </w:rPr>
        <w:t xml:space="preserve">Universidad Industrial de Santander. </w:t>
      </w:r>
      <w:r w:rsidRPr="002A4CE9">
        <w:rPr>
          <w:rFonts w:ascii="Times New Roman" w:hAnsi="Times New Roman" w:cs="Times New Roman"/>
          <w:noProof/>
          <w:sz w:val="24"/>
          <w:szCs w:val="24"/>
        </w:rPr>
        <w:t xml:space="preserve">(23 de Octubre de 2020). </w:t>
      </w:r>
      <w:r w:rsidRPr="00CB6845">
        <w:rPr>
          <w:rFonts w:ascii="Times New Roman" w:hAnsi="Times New Roman" w:cs="Times New Roman"/>
          <w:i/>
          <w:iCs/>
          <w:noProof/>
          <w:sz w:val="24"/>
          <w:szCs w:val="24"/>
        </w:rPr>
        <w:t>Ingeniería Industrial UIS: pionera en Colombia</w:t>
      </w:r>
      <w:r w:rsidRPr="002A4CE9">
        <w:rPr>
          <w:rFonts w:ascii="Times New Roman" w:hAnsi="Times New Roman" w:cs="Times New Roman"/>
          <w:noProof/>
          <w:sz w:val="24"/>
          <w:szCs w:val="24"/>
        </w:rPr>
        <w:t>. uis.edu.co/ingenieria-industrial-uis-pionera-en-colombia/</w:t>
      </w:r>
    </w:p>
    <w:p w14:paraId="41C696FC" w14:textId="1000C305" w:rsidR="00744F6B" w:rsidRPr="00744F6B" w:rsidRDefault="00744F6B" w:rsidP="00744F6B">
      <w:pPr>
        <w:pStyle w:val="Bibliografa"/>
        <w:spacing w:line="360" w:lineRule="auto"/>
        <w:ind w:left="720" w:hanging="720"/>
        <w:jc w:val="both"/>
        <w:rPr>
          <w:rFonts w:ascii="Times New Roman" w:hAnsi="Times New Roman" w:cs="Times New Roman"/>
          <w:noProof/>
          <w:sz w:val="24"/>
          <w:szCs w:val="24"/>
        </w:rPr>
      </w:pPr>
      <w:r w:rsidRPr="002A4CE9">
        <w:rPr>
          <w:rFonts w:ascii="Times New Roman" w:hAnsi="Times New Roman" w:cs="Times New Roman"/>
          <w:noProof/>
          <w:sz w:val="24"/>
          <w:szCs w:val="24"/>
        </w:rPr>
        <w:lastRenderedPageBreak/>
        <w:t>Universidad Industrial de Santander. (</w:t>
      </w:r>
      <w:r>
        <w:rPr>
          <w:rFonts w:ascii="Times New Roman" w:hAnsi="Times New Roman" w:cs="Times New Roman"/>
          <w:noProof/>
          <w:sz w:val="24"/>
          <w:szCs w:val="24"/>
        </w:rPr>
        <w:t>s.f.</w:t>
      </w:r>
      <w:r w:rsidRPr="002A4CE9">
        <w:rPr>
          <w:rFonts w:ascii="Times New Roman" w:hAnsi="Times New Roman" w:cs="Times New Roman"/>
          <w:noProof/>
          <w:sz w:val="24"/>
          <w:szCs w:val="24"/>
        </w:rPr>
        <w:t xml:space="preserve">). </w:t>
      </w:r>
      <w:r w:rsidRPr="002A4CE9">
        <w:rPr>
          <w:rFonts w:ascii="Times New Roman" w:hAnsi="Times New Roman" w:cs="Times New Roman"/>
          <w:i/>
          <w:iCs/>
          <w:noProof/>
          <w:sz w:val="24"/>
          <w:szCs w:val="24"/>
        </w:rPr>
        <w:t>Perfil Egresado del Programa Académico de Ingeniería Industrial</w:t>
      </w:r>
      <w:r w:rsidRPr="002A4CE9">
        <w:rPr>
          <w:rFonts w:ascii="Times New Roman" w:hAnsi="Times New Roman" w:cs="Times New Roman"/>
          <w:noProof/>
          <w:sz w:val="24"/>
          <w:szCs w:val="24"/>
        </w:rPr>
        <w:t>.</w:t>
      </w:r>
      <w:r>
        <w:rPr>
          <w:rFonts w:ascii="Times New Roman" w:hAnsi="Times New Roman" w:cs="Times New Roman"/>
          <w:noProof/>
          <w:sz w:val="24"/>
          <w:szCs w:val="24"/>
        </w:rPr>
        <w:t xml:space="preserve"> Recuperado el 13 de febrero de 2023 de </w:t>
      </w:r>
      <w:r w:rsidRPr="009A7B76">
        <w:rPr>
          <w:rFonts w:ascii="Times New Roman" w:hAnsi="Times New Roman" w:cs="Times New Roman"/>
          <w:noProof/>
          <w:sz w:val="24"/>
          <w:szCs w:val="24"/>
        </w:rPr>
        <w:t>https://uis.edu.co/ffm-pre-industrial-es/</w:t>
      </w:r>
    </w:p>
    <w:p w14:paraId="29D1E961" w14:textId="10605EFC" w:rsidR="00FA5D40" w:rsidRDefault="00FA5D40" w:rsidP="00FA5D40">
      <w:pPr>
        <w:pStyle w:val="Bibliografa"/>
        <w:spacing w:line="360" w:lineRule="auto"/>
        <w:ind w:left="720" w:hanging="720"/>
        <w:jc w:val="both"/>
        <w:rPr>
          <w:rFonts w:ascii="Times New Roman" w:hAnsi="Times New Roman" w:cs="Times New Roman"/>
          <w:noProof/>
          <w:sz w:val="24"/>
          <w:szCs w:val="24"/>
          <w:lang w:val="es-ES"/>
        </w:rPr>
      </w:pPr>
      <w:r w:rsidRPr="004160A0">
        <w:rPr>
          <w:rFonts w:ascii="Times New Roman" w:hAnsi="Times New Roman" w:cs="Times New Roman"/>
          <w:noProof/>
          <w:sz w:val="24"/>
          <w:szCs w:val="24"/>
          <w:lang w:val="es-ES"/>
        </w:rPr>
        <w:t xml:space="preserve">Universidad Nacional Autónoma de México. (13 de Abril de 2023).. </w:t>
      </w:r>
      <w:r w:rsidRPr="004160A0">
        <w:rPr>
          <w:rFonts w:ascii="Times New Roman" w:hAnsi="Times New Roman" w:cs="Times New Roman"/>
          <w:i/>
          <w:iCs/>
          <w:noProof/>
          <w:sz w:val="24"/>
          <w:szCs w:val="24"/>
          <w:lang w:val="es-ES"/>
        </w:rPr>
        <w:t>Reglamento General de Estudios Universitarios</w:t>
      </w:r>
      <w:r w:rsidRPr="004160A0">
        <w:rPr>
          <w:rFonts w:ascii="Times New Roman" w:hAnsi="Times New Roman" w:cs="Times New Roman"/>
          <w:noProof/>
          <w:sz w:val="24"/>
          <w:szCs w:val="24"/>
          <w:lang w:val="es-ES"/>
        </w:rPr>
        <w:t>. Oficina de la Abogacía General UNAM. http://www.abogadogeneral.unam.mx:6060/legislacion/view/68/CR%C3%89DITO</w:t>
      </w:r>
    </w:p>
    <w:p w14:paraId="0F6BA03E" w14:textId="77777777" w:rsidR="00451D5D" w:rsidRDefault="00451D5D" w:rsidP="00451D5D">
      <w:pPr>
        <w:pStyle w:val="Bibliografa"/>
        <w:spacing w:line="360" w:lineRule="auto"/>
        <w:ind w:left="720" w:hanging="720"/>
        <w:jc w:val="both"/>
        <w:rPr>
          <w:rFonts w:ascii="Times New Roman" w:hAnsi="Times New Roman" w:cs="Times New Roman"/>
          <w:noProof/>
          <w:sz w:val="24"/>
          <w:szCs w:val="24"/>
        </w:rPr>
      </w:pPr>
      <w:r w:rsidRPr="002A4CE9">
        <w:rPr>
          <w:rFonts w:ascii="Times New Roman" w:hAnsi="Times New Roman" w:cs="Times New Roman"/>
          <w:noProof/>
          <w:sz w:val="24"/>
          <w:szCs w:val="24"/>
        </w:rPr>
        <w:t xml:space="preserve">Villao Reyes, M. F., Guzmán Huayamave, K. V., </w:t>
      </w:r>
      <w:r>
        <w:rPr>
          <w:rFonts w:ascii="Times New Roman" w:hAnsi="Times New Roman" w:cs="Times New Roman"/>
          <w:noProof/>
          <w:sz w:val="24"/>
          <w:szCs w:val="24"/>
        </w:rPr>
        <w:t>y</w:t>
      </w:r>
      <w:r w:rsidRPr="002A4CE9">
        <w:rPr>
          <w:rFonts w:ascii="Times New Roman" w:hAnsi="Times New Roman" w:cs="Times New Roman"/>
          <w:noProof/>
          <w:sz w:val="24"/>
          <w:szCs w:val="24"/>
        </w:rPr>
        <w:t xml:space="preserve"> León García, M. (2022). Estudio comparativo de diseños de carreras de Educación. Utilidad para la evaluación curricular. </w:t>
      </w:r>
      <w:r w:rsidRPr="002A4CE9">
        <w:rPr>
          <w:rFonts w:ascii="Times New Roman" w:hAnsi="Times New Roman" w:cs="Times New Roman"/>
          <w:i/>
          <w:iCs/>
          <w:noProof/>
          <w:sz w:val="24"/>
          <w:szCs w:val="24"/>
        </w:rPr>
        <w:t>Revista Ciencias Pedagógicas e Innovación • e-ISSN 1390-7603 • Vol. 10 • N° 1</w:t>
      </w:r>
      <w:r>
        <w:rPr>
          <w:rFonts w:ascii="Times New Roman" w:hAnsi="Times New Roman" w:cs="Times New Roman"/>
          <w:i/>
          <w:iCs/>
          <w:noProof/>
          <w:sz w:val="24"/>
          <w:szCs w:val="24"/>
        </w:rPr>
        <w:t>, 21-26</w:t>
      </w:r>
      <w:r w:rsidRPr="002A4CE9">
        <w:rPr>
          <w:rFonts w:ascii="Times New Roman" w:hAnsi="Times New Roman" w:cs="Times New Roman"/>
          <w:i/>
          <w:iCs/>
          <w:noProof/>
          <w:sz w:val="24"/>
          <w:szCs w:val="24"/>
        </w:rPr>
        <w:t xml:space="preserve">. </w:t>
      </w:r>
      <w:r w:rsidRPr="00D830BB">
        <w:rPr>
          <w:rFonts w:ascii="Times New Roman" w:hAnsi="Times New Roman" w:cs="Times New Roman"/>
          <w:noProof/>
          <w:sz w:val="24"/>
          <w:szCs w:val="24"/>
        </w:rPr>
        <w:t>http:/dx.doi.org/10.26423/rcpi.v10i1.521</w:t>
      </w:r>
    </w:p>
    <w:p w14:paraId="6D19F8CE" w14:textId="77777777" w:rsidR="00FA5D40" w:rsidRPr="00FA5D40" w:rsidRDefault="00FA5D40" w:rsidP="00FA5D40">
      <w:pPr>
        <w:rPr>
          <w:lang w:eastAsia="en-US"/>
        </w:rPr>
      </w:pPr>
    </w:p>
    <w:p w14:paraId="3D4DA6E3" w14:textId="77777777" w:rsidR="00091421" w:rsidRPr="00091421" w:rsidRDefault="00091421" w:rsidP="00091421">
      <w:pPr>
        <w:rPr>
          <w:lang w:val="es-CO" w:eastAsia="en-US"/>
        </w:rPr>
      </w:pPr>
    </w:p>
    <w:p w14:paraId="49B8D713" w14:textId="77777777" w:rsidR="00855533" w:rsidRPr="00E45839" w:rsidRDefault="00855533" w:rsidP="00855533">
      <w:pPr>
        <w:spacing w:line="480" w:lineRule="auto"/>
        <w:rPr>
          <w:b/>
          <w:bCs/>
          <w:color w:val="000000" w:themeColor="text1"/>
        </w:rPr>
      </w:pPr>
    </w:p>
    <w:sectPr w:rsidR="00855533" w:rsidRPr="00E45839" w:rsidSect="00E71F79">
      <w:headerReference w:type="even" r:id="rId14"/>
      <w:headerReference w:type="default" r:id="rId15"/>
      <w:pgSz w:w="11906" w:h="16838"/>
      <w:pgMar w:top="1701" w:right="1701" w:bottom="170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A603574" w14:textId="77777777" w:rsidR="00DA40A4" w:rsidRDefault="00DA40A4">
      <w:r>
        <w:separator/>
      </w:r>
    </w:p>
  </w:endnote>
  <w:endnote w:type="continuationSeparator" w:id="0">
    <w:p w14:paraId="6B49A774" w14:textId="77777777" w:rsidR="00DA40A4" w:rsidRDefault="00DA40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TimesNewRomanPSMT">
    <w:altName w:val="Times New Roman"/>
    <w:charset w:val="00"/>
    <w:family w:val="roman"/>
    <w:pitch w:val="default"/>
  </w:font>
  <w:font w:name="Helvetica Neue">
    <w:charset w:val="00"/>
    <w:family w:val="auto"/>
    <w:pitch w:val="variable"/>
    <w:sig w:usb0="E50002FF" w:usb1="500079DB" w:usb2="00000010" w:usb3="00000000" w:csb0="00000001" w:csb1="00000000"/>
  </w:font>
  <w:font w:name="Arial Unicode MS">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venir LT Std 35 Light">
    <w:altName w:val="Calibri"/>
    <w:charset w:val="00"/>
    <w:family w:val="swiss"/>
    <w:pitch w:val="variable"/>
    <w:sig w:usb0="800000AF" w:usb1="4000204A" w:usb2="00000000" w:usb3="00000000" w:csb0="00000001" w:csb1="00000000"/>
  </w:font>
  <w:font w:name="Sabon MT Std">
    <w:charset w:val="00"/>
    <w:family w:val="roman"/>
    <w:pitch w:val="variable"/>
    <w:sig w:usb0="800000AF" w:usb1="5000204A" w:usb2="00000000" w:usb3="00000000" w:csb0="00000001" w:csb1="00000000"/>
  </w:font>
  <w:font w:name="system-ui">
    <w:altName w:val="Cambria"/>
    <w:panose1 w:val="00000000000000000000"/>
    <w:charset w:val="00"/>
    <w:family w:val="roman"/>
    <w:notTrueType/>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5442C7" w14:textId="77777777" w:rsidR="00DA40A4" w:rsidRDefault="00DA40A4">
      <w:r>
        <w:separator/>
      </w:r>
    </w:p>
  </w:footnote>
  <w:footnote w:type="continuationSeparator" w:id="0">
    <w:p w14:paraId="0F0EA7D3" w14:textId="77777777" w:rsidR="00DA40A4" w:rsidRDefault="00DA40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28121" w14:textId="77777777" w:rsidR="00600483" w:rsidRDefault="00600483" w:rsidP="00600483">
    <w:pPr>
      <w:pStyle w:val="Encabezado"/>
      <w:framePr w:wrap="around" w:vAnchor="text" w:hAnchor="margin" w:xAlign="center" w:y="1"/>
      <w:rPr>
        <w:rStyle w:val="Nmerodepgina"/>
      </w:rPr>
    </w:pPr>
    <w:r>
      <w:rPr>
        <w:rStyle w:val="Nmerodepgina"/>
      </w:rPr>
      <w:fldChar w:fldCharType="begin"/>
    </w:r>
    <w:r w:rsidR="00217AF1">
      <w:rPr>
        <w:rStyle w:val="Nmerodepgina"/>
      </w:rPr>
      <w:instrText>PAGE</w:instrText>
    </w:r>
    <w:r>
      <w:rPr>
        <w:rStyle w:val="Nmerodepgina"/>
      </w:rPr>
      <w:instrText xml:space="preserve">  </w:instrText>
    </w:r>
    <w:r>
      <w:rPr>
        <w:rStyle w:val="Nmerodepgina"/>
      </w:rPr>
      <w:fldChar w:fldCharType="end"/>
    </w:r>
  </w:p>
  <w:p w14:paraId="62199465" w14:textId="77777777" w:rsidR="00600483" w:rsidRDefault="00600483">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3DCC54" w14:textId="77777777" w:rsidR="00600483" w:rsidRPr="00F14BC4" w:rsidRDefault="00BB0353" w:rsidP="00600483">
    <w:pPr>
      <w:ind w:left="57"/>
      <w:jc w:val="right"/>
      <w:rPr>
        <w:rFonts w:ascii="Garamond" w:hAnsi="Garamond"/>
        <w:b/>
        <w:sz w:val="50"/>
        <w:szCs w:val="50"/>
        <w:u w:val="single"/>
      </w:rPr>
    </w:pPr>
    <w:r w:rsidRPr="00F14BC4">
      <w:rPr>
        <w:noProof/>
        <w:sz w:val="50"/>
        <w:szCs w:val="50"/>
      </w:rPr>
      <w:drawing>
        <wp:anchor distT="0" distB="0" distL="114300" distR="114300" simplePos="0" relativeHeight="251657728" behindDoc="0" locked="0" layoutInCell="1" allowOverlap="1" wp14:anchorId="4469D3F8" wp14:editId="38717357">
          <wp:simplePos x="0" y="0"/>
          <wp:positionH relativeFrom="margin">
            <wp:posOffset>-98425</wp:posOffset>
          </wp:positionH>
          <wp:positionV relativeFrom="margin">
            <wp:posOffset>-823017</wp:posOffset>
          </wp:positionV>
          <wp:extent cx="2051454" cy="715005"/>
          <wp:effectExtent l="0" t="0" r="0"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r="15065" b="10938"/>
                  <a:stretch>
                    <a:fillRect/>
                  </a:stretch>
                </pic:blipFill>
                <pic:spPr bwMode="auto">
                  <a:xfrm>
                    <a:off x="0" y="0"/>
                    <a:ext cx="2051454" cy="715005"/>
                  </a:xfrm>
                  <a:prstGeom prst="rect">
                    <a:avLst/>
                  </a:prstGeom>
                  <a:noFill/>
                  <a:ln>
                    <a:noFill/>
                  </a:ln>
                </pic:spPr>
              </pic:pic>
            </a:graphicData>
          </a:graphic>
          <wp14:sizeRelH relativeFrom="page">
            <wp14:pctWidth>0</wp14:pctWidth>
          </wp14:sizeRelH>
          <wp14:sizeRelV relativeFrom="page">
            <wp14:pctHeight>0</wp14:pctHeight>
          </wp14:sizeRelV>
        </wp:anchor>
      </w:drawing>
    </w:r>
    <w:r w:rsidR="00600483" w:rsidRPr="00F14BC4">
      <w:rPr>
        <w:rFonts w:ascii="Garamond" w:hAnsi="Garamond" w:cs="Arial"/>
        <w:i/>
        <w:sz w:val="50"/>
        <w:szCs w:val="50"/>
      </w:rPr>
      <w:t>Magis</w:t>
    </w:r>
  </w:p>
  <w:p w14:paraId="2D06651B" w14:textId="77777777" w:rsidR="00600483" w:rsidRPr="00F14BC4" w:rsidRDefault="00600483" w:rsidP="00600483">
    <w:pPr>
      <w:ind w:left="57"/>
      <w:jc w:val="right"/>
      <w:rPr>
        <w:rFonts w:ascii="Garamond" w:hAnsi="Garamond" w:cs="Arial"/>
        <w:smallCaps/>
        <w:spacing w:val="20"/>
        <w:sz w:val="16"/>
        <w:szCs w:val="16"/>
      </w:rPr>
    </w:pPr>
    <w:r w:rsidRPr="00F14BC4">
      <w:rPr>
        <w:rFonts w:ascii="Garamond" w:hAnsi="Garamond" w:cs="Arial"/>
        <w:smallCaps/>
        <w:spacing w:val="20"/>
        <w:sz w:val="16"/>
        <w:szCs w:val="16"/>
      </w:rPr>
      <w:t xml:space="preserve">Revista Internacional de Investigación en Educación </w:t>
    </w:r>
  </w:p>
  <w:p w14:paraId="0364BA1D" w14:textId="77777777" w:rsidR="00600483" w:rsidRDefault="00600483" w:rsidP="00600483">
    <w:pPr>
      <w:pStyle w:val="Encabezado"/>
      <w:framePr w:wrap="around" w:vAnchor="text" w:hAnchor="page" w:x="9982" w:y="186"/>
      <w:rPr>
        <w:rStyle w:val="Nmerodepgina"/>
      </w:rPr>
    </w:pPr>
    <w:r>
      <w:rPr>
        <w:rStyle w:val="Nmerodepgina"/>
      </w:rPr>
      <w:fldChar w:fldCharType="begin"/>
    </w:r>
    <w:r w:rsidR="00217AF1">
      <w:rPr>
        <w:rStyle w:val="Nmerodepgina"/>
      </w:rPr>
      <w:instrText>PAGE</w:instrText>
    </w:r>
    <w:r>
      <w:rPr>
        <w:rStyle w:val="Nmerodepgina"/>
      </w:rPr>
      <w:instrText xml:space="preserve">  </w:instrText>
    </w:r>
    <w:r>
      <w:rPr>
        <w:rStyle w:val="Nmerodepgina"/>
      </w:rPr>
      <w:fldChar w:fldCharType="separate"/>
    </w:r>
    <w:r w:rsidR="005D6B0F">
      <w:rPr>
        <w:rStyle w:val="Nmerodepgina"/>
        <w:noProof/>
      </w:rPr>
      <w:t>1</w:t>
    </w:r>
    <w:r>
      <w:rPr>
        <w:rStyle w:val="Nmerodepgina"/>
      </w:rPr>
      <w:fldChar w:fldCharType="end"/>
    </w:r>
  </w:p>
  <w:p w14:paraId="5C71F136" w14:textId="77777777" w:rsidR="00600483" w:rsidRDefault="00600483" w:rsidP="00600483">
    <w:pPr>
      <w:pStyle w:val="Encabezado"/>
      <w:ind w:left="5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4B47545"/>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ACE0576"/>
    <w:multiLevelType w:val="hybridMultilevel"/>
    <w:tmpl w:val="41A0FD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1BAD0059"/>
    <w:multiLevelType w:val="hybridMultilevel"/>
    <w:tmpl w:val="512EBC40"/>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209A6CF3"/>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3C61E6E"/>
    <w:multiLevelType w:val="hybridMultilevel"/>
    <w:tmpl w:val="50A6523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293D56E1"/>
    <w:multiLevelType w:val="multilevel"/>
    <w:tmpl w:val="FFFFFFFF"/>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3C25725"/>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40C5FD8"/>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5F070DA"/>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6731162"/>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9B05BEE"/>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C105EE2"/>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DE4066D"/>
    <w:multiLevelType w:val="multilevel"/>
    <w:tmpl w:val="B97AF560"/>
    <w:lvl w:ilvl="0">
      <w:start w:val="2"/>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8761992"/>
    <w:multiLevelType w:val="hybridMultilevel"/>
    <w:tmpl w:val="5A0A8A1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4F1A5306"/>
    <w:multiLevelType w:val="multilevel"/>
    <w:tmpl w:val="FFFFFFFF"/>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F221662"/>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4312FFB"/>
    <w:multiLevelType w:val="hybridMultilevel"/>
    <w:tmpl w:val="BF18AFD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589F09E6"/>
    <w:multiLevelType w:val="multilevel"/>
    <w:tmpl w:val="B7B418DA"/>
    <w:lvl w:ilvl="0">
      <w:start w:val="1"/>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8" w15:restartNumberingAfterBreak="0">
    <w:nsid w:val="5A8908DC"/>
    <w:multiLevelType w:val="hybridMultilevel"/>
    <w:tmpl w:val="18583196"/>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9" w15:restartNumberingAfterBreak="0">
    <w:nsid w:val="63AE4F38"/>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8C171C4"/>
    <w:multiLevelType w:val="multilevel"/>
    <w:tmpl w:val="FFFFFFFF"/>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6FB00C60"/>
    <w:multiLevelType w:val="hybridMultilevel"/>
    <w:tmpl w:val="29D06B5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15:restartNumberingAfterBreak="0">
    <w:nsid w:val="741D533D"/>
    <w:multiLevelType w:val="hybridMultilevel"/>
    <w:tmpl w:val="5F8ABFB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75290202"/>
    <w:multiLevelType w:val="multilevel"/>
    <w:tmpl w:val="FFFFFFFF"/>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7D5D2F7E"/>
    <w:multiLevelType w:val="multilevel"/>
    <w:tmpl w:val="FFFFFFFF"/>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F3D1CED"/>
    <w:multiLevelType w:val="hybridMultilevel"/>
    <w:tmpl w:val="C9C65A2A"/>
    <w:lvl w:ilvl="0" w:tplc="911EB80A">
      <w:start w:val="1"/>
      <w:numFmt w:val="decimal"/>
      <w:lvlText w:val="%1."/>
      <w:lvlJc w:val="left"/>
      <w:pPr>
        <w:ind w:left="720" w:hanging="360"/>
      </w:pPr>
      <w:rPr>
        <w:rFonts w:cs="Times New Roman" w:hint="default"/>
        <w:b w:val="0"/>
        <w:color w:val="0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18"/>
  </w:num>
  <w:num w:numId="2">
    <w:abstractNumId w:val="21"/>
  </w:num>
  <w:num w:numId="3">
    <w:abstractNumId w:val="2"/>
  </w:num>
  <w:num w:numId="4">
    <w:abstractNumId w:val="17"/>
  </w:num>
  <w:num w:numId="5">
    <w:abstractNumId w:val="25"/>
  </w:num>
  <w:num w:numId="6">
    <w:abstractNumId w:val="4"/>
  </w:num>
  <w:num w:numId="7">
    <w:abstractNumId w:val="10"/>
  </w:num>
  <w:num w:numId="8">
    <w:abstractNumId w:val="5"/>
  </w:num>
  <w:num w:numId="9">
    <w:abstractNumId w:val="24"/>
  </w:num>
  <w:num w:numId="10">
    <w:abstractNumId w:val="20"/>
  </w:num>
  <w:num w:numId="11">
    <w:abstractNumId w:val="15"/>
  </w:num>
  <w:num w:numId="12">
    <w:abstractNumId w:val="9"/>
  </w:num>
  <w:num w:numId="13">
    <w:abstractNumId w:val="12"/>
  </w:num>
  <w:num w:numId="14">
    <w:abstractNumId w:val="8"/>
  </w:num>
  <w:num w:numId="15">
    <w:abstractNumId w:val="3"/>
  </w:num>
  <w:num w:numId="16">
    <w:abstractNumId w:val="7"/>
  </w:num>
  <w:num w:numId="17">
    <w:abstractNumId w:val="6"/>
  </w:num>
  <w:num w:numId="18">
    <w:abstractNumId w:val="11"/>
  </w:num>
  <w:num w:numId="19">
    <w:abstractNumId w:val="19"/>
  </w:num>
  <w:num w:numId="20">
    <w:abstractNumId w:val="1"/>
  </w:num>
  <w:num w:numId="21">
    <w:abstractNumId w:val="13"/>
  </w:num>
  <w:num w:numId="22">
    <w:abstractNumId w:val="22"/>
  </w:num>
  <w:num w:numId="23">
    <w:abstractNumId w:val="14"/>
  </w:num>
  <w:num w:numId="24">
    <w:abstractNumId w:val="0"/>
  </w:num>
  <w:num w:numId="25">
    <w:abstractNumId w:val="23"/>
  </w:num>
  <w:num w:numId="26">
    <w:abstractNumId w:val="16"/>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615E"/>
    <w:rsid w:val="00000968"/>
    <w:rsid w:val="00002E7F"/>
    <w:rsid w:val="0000305A"/>
    <w:rsid w:val="00004226"/>
    <w:rsid w:val="000057EA"/>
    <w:rsid w:val="0001022E"/>
    <w:rsid w:val="00010CA2"/>
    <w:rsid w:val="00011646"/>
    <w:rsid w:val="00011B84"/>
    <w:rsid w:val="00015288"/>
    <w:rsid w:val="00015CD4"/>
    <w:rsid w:val="00016B28"/>
    <w:rsid w:val="00016F1C"/>
    <w:rsid w:val="00020FD6"/>
    <w:rsid w:val="00021344"/>
    <w:rsid w:val="000310DB"/>
    <w:rsid w:val="00032087"/>
    <w:rsid w:val="00032546"/>
    <w:rsid w:val="00032AF4"/>
    <w:rsid w:val="00034BB2"/>
    <w:rsid w:val="00036749"/>
    <w:rsid w:val="000416B0"/>
    <w:rsid w:val="000418A3"/>
    <w:rsid w:val="000478FB"/>
    <w:rsid w:val="00047D8A"/>
    <w:rsid w:val="00047DE3"/>
    <w:rsid w:val="00051228"/>
    <w:rsid w:val="00052A8B"/>
    <w:rsid w:val="00056DBE"/>
    <w:rsid w:val="000630F6"/>
    <w:rsid w:val="00063849"/>
    <w:rsid w:val="000739F0"/>
    <w:rsid w:val="000759BF"/>
    <w:rsid w:val="00076598"/>
    <w:rsid w:val="00080CCC"/>
    <w:rsid w:val="0008421D"/>
    <w:rsid w:val="0008439F"/>
    <w:rsid w:val="00085826"/>
    <w:rsid w:val="00090D11"/>
    <w:rsid w:val="00091421"/>
    <w:rsid w:val="00094BA3"/>
    <w:rsid w:val="000B13DC"/>
    <w:rsid w:val="000B5C2E"/>
    <w:rsid w:val="000B5D3E"/>
    <w:rsid w:val="000C0858"/>
    <w:rsid w:val="000C0B6C"/>
    <w:rsid w:val="000C1C7A"/>
    <w:rsid w:val="000C2FCB"/>
    <w:rsid w:val="000C4153"/>
    <w:rsid w:val="000C4875"/>
    <w:rsid w:val="000C49A7"/>
    <w:rsid w:val="000C5BCD"/>
    <w:rsid w:val="000C618C"/>
    <w:rsid w:val="000C64D1"/>
    <w:rsid w:val="000C79BA"/>
    <w:rsid w:val="000D6137"/>
    <w:rsid w:val="000D66D7"/>
    <w:rsid w:val="000D7931"/>
    <w:rsid w:val="000E01FC"/>
    <w:rsid w:val="000E4375"/>
    <w:rsid w:val="000E4616"/>
    <w:rsid w:val="000F0ED8"/>
    <w:rsid w:val="000F54C0"/>
    <w:rsid w:val="000F69AA"/>
    <w:rsid w:val="001039E6"/>
    <w:rsid w:val="001065B6"/>
    <w:rsid w:val="00112D70"/>
    <w:rsid w:val="00115A4B"/>
    <w:rsid w:val="001247ED"/>
    <w:rsid w:val="00125096"/>
    <w:rsid w:val="00125803"/>
    <w:rsid w:val="00132674"/>
    <w:rsid w:val="0014041F"/>
    <w:rsid w:val="00142F68"/>
    <w:rsid w:val="001446DE"/>
    <w:rsid w:val="00146FA8"/>
    <w:rsid w:val="00152A91"/>
    <w:rsid w:val="00152B31"/>
    <w:rsid w:val="0015364E"/>
    <w:rsid w:val="001601EE"/>
    <w:rsid w:val="00161525"/>
    <w:rsid w:val="0016197F"/>
    <w:rsid w:val="00162A35"/>
    <w:rsid w:val="00163965"/>
    <w:rsid w:val="00164441"/>
    <w:rsid w:val="00165336"/>
    <w:rsid w:val="001657F7"/>
    <w:rsid w:val="00166002"/>
    <w:rsid w:val="001706A4"/>
    <w:rsid w:val="001706D2"/>
    <w:rsid w:val="001820FC"/>
    <w:rsid w:val="0018388A"/>
    <w:rsid w:val="00183C4B"/>
    <w:rsid w:val="00184443"/>
    <w:rsid w:val="00187B88"/>
    <w:rsid w:val="00193553"/>
    <w:rsid w:val="00195541"/>
    <w:rsid w:val="00196850"/>
    <w:rsid w:val="001A10D5"/>
    <w:rsid w:val="001A1927"/>
    <w:rsid w:val="001A38E4"/>
    <w:rsid w:val="001A56AA"/>
    <w:rsid w:val="001A65AF"/>
    <w:rsid w:val="001A704C"/>
    <w:rsid w:val="001B1F07"/>
    <w:rsid w:val="001B293C"/>
    <w:rsid w:val="001B2FAB"/>
    <w:rsid w:val="001B67C8"/>
    <w:rsid w:val="001C1AC8"/>
    <w:rsid w:val="001C5FA8"/>
    <w:rsid w:val="001C7627"/>
    <w:rsid w:val="001D10BE"/>
    <w:rsid w:val="001D1228"/>
    <w:rsid w:val="001D1291"/>
    <w:rsid w:val="001D364A"/>
    <w:rsid w:val="001D41E8"/>
    <w:rsid w:val="001D6D92"/>
    <w:rsid w:val="001D7E69"/>
    <w:rsid w:val="001E2B00"/>
    <w:rsid w:val="001E5C82"/>
    <w:rsid w:val="001E7428"/>
    <w:rsid w:val="001F0B87"/>
    <w:rsid w:val="001F1EF3"/>
    <w:rsid w:val="001F263F"/>
    <w:rsid w:val="001F5991"/>
    <w:rsid w:val="00202E6B"/>
    <w:rsid w:val="00203811"/>
    <w:rsid w:val="00203EB1"/>
    <w:rsid w:val="00204149"/>
    <w:rsid w:val="00205E81"/>
    <w:rsid w:val="0020697F"/>
    <w:rsid w:val="00207AAE"/>
    <w:rsid w:val="00210015"/>
    <w:rsid w:val="00217AF1"/>
    <w:rsid w:val="002208E5"/>
    <w:rsid w:val="00220A0B"/>
    <w:rsid w:val="00222596"/>
    <w:rsid w:val="00225C80"/>
    <w:rsid w:val="00231799"/>
    <w:rsid w:val="00232378"/>
    <w:rsid w:val="00232682"/>
    <w:rsid w:val="002344A6"/>
    <w:rsid w:val="00234DDF"/>
    <w:rsid w:val="00236786"/>
    <w:rsid w:val="00237078"/>
    <w:rsid w:val="00237688"/>
    <w:rsid w:val="00240215"/>
    <w:rsid w:val="00246810"/>
    <w:rsid w:val="00247F3A"/>
    <w:rsid w:val="0025096D"/>
    <w:rsid w:val="002529E2"/>
    <w:rsid w:val="00252D7F"/>
    <w:rsid w:val="002533E1"/>
    <w:rsid w:val="00256367"/>
    <w:rsid w:val="002607E4"/>
    <w:rsid w:val="002615FC"/>
    <w:rsid w:val="002642CA"/>
    <w:rsid w:val="00266675"/>
    <w:rsid w:val="0026696C"/>
    <w:rsid w:val="00267AB2"/>
    <w:rsid w:val="00267B3A"/>
    <w:rsid w:val="0027223D"/>
    <w:rsid w:val="002743A8"/>
    <w:rsid w:val="00274F4E"/>
    <w:rsid w:val="00275C49"/>
    <w:rsid w:val="002853AE"/>
    <w:rsid w:val="00292384"/>
    <w:rsid w:val="002934CD"/>
    <w:rsid w:val="00294FED"/>
    <w:rsid w:val="002A007A"/>
    <w:rsid w:val="002A147D"/>
    <w:rsid w:val="002A3D0B"/>
    <w:rsid w:val="002A615E"/>
    <w:rsid w:val="002B1F62"/>
    <w:rsid w:val="002B2ED1"/>
    <w:rsid w:val="002C7012"/>
    <w:rsid w:val="002D0BB7"/>
    <w:rsid w:val="002D25B8"/>
    <w:rsid w:val="002D26A3"/>
    <w:rsid w:val="002D7883"/>
    <w:rsid w:val="002E0D81"/>
    <w:rsid w:val="002E15CF"/>
    <w:rsid w:val="002E48E4"/>
    <w:rsid w:val="002E4D5E"/>
    <w:rsid w:val="002E576A"/>
    <w:rsid w:val="002F08F9"/>
    <w:rsid w:val="002F09FF"/>
    <w:rsid w:val="002F326D"/>
    <w:rsid w:val="003017EC"/>
    <w:rsid w:val="00304D3F"/>
    <w:rsid w:val="00307AC6"/>
    <w:rsid w:val="0031042D"/>
    <w:rsid w:val="003137FA"/>
    <w:rsid w:val="0031415A"/>
    <w:rsid w:val="00322444"/>
    <w:rsid w:val="00322C52"/>
    <w:rsid w:val="003250EA"/>
    <w:rsid w:val="00325AFD"/>
    <w:rsid w:val="00326784"/>
    <w:rsid w:val="00330B72"/>
    <w:rsid w:val="003311E2"/>
    <w:rsid w:val="003414FD"/>
    <w:rsid w:val="003441C0"/>
    <w:rsid w:val="00344D0E"/>
    <w:rsid w:val="00344F2F"/>
    <w:rsid w:val="003467D0"/>
    <w:rsid w:val="0035021D"/>
    <w:rsid w:val="003541FF"/>
    <w:rsid w:val="0035625A"/>
    <w:rsid w:val="00356809"/>
    <w:rsid w:val="00360531"/>
    <w:rsid w:val="00361D31"/>
    <w:rsid w:val="00361D80"/>
    <w:rsid w:val="00364264"/>
    <w:rsid w:val="00365311"/>
    <w:rsid w:val="00370110"/>
    <w:rsid w:val="00374812"/>
    <w:rsid w:val="003814AB"/>
    <w:rsid w:val="003827BA"/>
    <w:rsid w:val="00382D81"/>
    <w:rsid w:val="00383124"/>
    <w:rsid w:val="003849FF"/>
    <w:rsid w:val="00387E75"/>
    <w:rsid w:val="003909BC"/>
    <w:rsid w:val="003948D2"/>
    <w:rsid w:val="003953F9"/>
    <w:rsid w:val="00395D36"/>
    <w:rsid w:val="003978B3"/>
    <w:rsid w:val="003A37AA"/>
    <w:rsid w:val="003A4DF9"/>
    <w:rsid w:val="003A7FDB"/>
    <w:rsid w:val="003B1923"/>
    <w:rsid w:val="003B1AE1"/>
    <w:rsid w:val="003B1CF6"/>
    <w:rsid w:val="003B4E7B"/>
    <w:rsid w:val="003B5A6E"/>
    <w:rsid w:val="003C0A6F"/>
    <w:rsid w:val="003C2A4C"/>
    <w:rsid w:val="003C3455"/>
    <w:rsid w:val="003C36EE"/>
    <w:rsid w:val="003C3C00"/>
    <w:rsid w:val="003C4F9E"/>
    <w:rsid w:val="003C77B5"/>
    <w:rsid w:val="003C7C7A"/>
    <w:rsid w:val="003D2718"/>
    <w:rsid w:val="003D2A65"/>
    <w:rsid w:val="003D2D6F"/>
    <w:rsid w:val="003D2E5E"/>
    <w:rsid w:val="003D4308"/>
    <w:rsid w:val="003D6017"/>
    <w:rsid w:val="003D7561"/>
    <w:rsid w:val="003E1F76"/>
    <w:rsid w:val="003E3940"/>
    <w:rsid w:val="003E48B0"/>
    <w:rsid w:val="003F1E9D"/>
    <w:rsid w:val="003F5B3C"/>
    <w:rsid w:val="003F6153"/>
    <w:rsid w:val="00404A92"/>
    <w:rsid w:val="00404E12"/>
    <w:rsid w:val="0040751B"/>
    <w:rsid w:val="00407F2C"/>
    <w:rsid w:val="00411A4F"/>
    <w:rsid w:val="00416560"/>
    <w:rsid w:val="0042230E"/>
    <w:rsid w:val="00422A5A"/>
    <w:rsid w:val="0042397D"/>
    <w:rsid w:val="00423D78"/>
    <w:rsid w:val="00426142"/>
    <w:rsid w:val="00427037"/>
    <w:rsid w:val="0043163D"/>
    <w:rsid w:val="0043193C"/>
    <w:rsid w:val="00434365"/>
    <w:rsid w:val="00437E60"/>
    <w:rsid w:val="0044024A"/>
    <w:rsid w:val="004410DC"/>
    <w:rsid w:val="004448A1"/>
    <w:rsid w:val="00444946"/>
    <w:rsid w:val="0044566F"/>
    <w:rsid w:val="0044663A"/>
    <w:rsid w:val="00450B59"/>
    <w:rsid w:val="004514CD"/>
    <w:rsid w:val="00451D5D"/>
    <w:rsid w:val="004526B4"/>
    <w:rsid w:val="00453B8A"/>
    <w:rsid w:val="004544C6"/>
    <w:rsid w:val="004623E0"/>
    <w:rsid w:val="004652C8"/>
    <w:rsid w:val="00466045"/>
    <w:rsid w:val="00466F43"/>
    <w:rsid w:val="004729C2"/>
    <w:rsid w:val="00476289"/>
    <w:rsid w:val="004764BD"/>
    <w:rsid w:val="00476B01"/>
    <w:rsid w:val="00481B6B"/>
    <w:rsid w:val="0048234F"/>
    <w:rsid w:val="0048562B"/>
    <w:rsid w:val="00485708"/>
    <w:rsid w:val="00486EE9"/>
    <w:rsid w:val="00487379"/>
    <w:rsid w:val="00491022"/>
    <w:rsid w:val="0049398A"/>
    <w:rsid w:val="004A0A33"/>
    <w:rsid w:val="004A1CD1"/>
    <w:rsid w:val="004A3998"/>
    <w:rsid w:val="004A3BB5"/>
    <w:rsid w:val="004A455F"/>
    <w:rsid w:val="004A6AB1"/>
    <w:rsid w:val="004B0754"/>
    <w:rsid w:val="004B235D"/>
    <w:rsid w:val="004B294F"/>
    <w:rsid w:val="004B2BA1"/>
    <w:rsid w:val="004B75F3"/>
    <w:rsid w:val="004C4154"/>
    <w:rsid w:val="004C5038"/>
    <w:rsid w:val="004C52D7"/>
    <w:rsid w:val="004C556D"/>
    <w:rsid w:val="004D17C9"/>
    <w:rsid w:val="004D1E5F"/>
    <w:rsid w:val="004D26C7"/>
    <w:rsid w:val="004D4204"/>
    <w:rsid w:val="004D53DA"/>
    <w:rsid w:val="004E19EE"/>
    <w:rsid w:val="004E24D6"/>
    <w:rsid w:val="004E7134"/>
    <w:rsid w:val="004F0D51"/>
    <w:rsid w:val="004F2218"/>
    <w:rsid w:val="004F3030"/>
    <w:rsid w:val="004F4254"/>
    <w:rsid w:val="004F4783"/>
    <w:rsid w:val="004F4F9D"/>
    <w:rsid w:val="004F5129"/>
    <w:rsid w:val="004F5A87"/>
    <w:rsid w:val="004F5CB3"/>
    <w:rsid w:val="004F61AB"/>
    <w:rsid w:val="00501E08"/>
    <w:rsid w:val="00503C42"/>
    <w:rsid w:val="00503D1D"/>
    <w:rsid w:val="00504445"/>
    <w:rsid w:val="005079F8"/>
    <w:rsid w:val="00510ECB"/>
    <w:rsid w:val="00514CDF"/>
    <w:rsid w:val="00515428"/>
    <w:rsid w:val="0051731D"/>
    <w:rsid w:val="00525612"/>
    <w:rsid w:val="00534677"/>
    <w:rsid w:val="00535800"/>
    <w:rsid w:val="00536771"/>
    <w:rsid w:val="005371B3"/>
    <w:rsid w:val="00544306"/>
    <w:rsid w:val="005477A1"/>
    <w:rsid w:val="00547AD3"/>
    <w:rsid w:val="00550FE9"/>
    <w:rsid w:val="00551F49"/>
    <w:rsid w:val="005542F0"/>
    <w:rsid w:val="00557A34"/>
    <w:rsid w:val="005641C4"/>
    <w:rsid w:val="0056475C"/>
    <w:rsid w:val="00564F80"/>
    <w:rsid w:val="005655FC"/>
    <w:rsid w:val="0056614D"/>
    <w:rsid w:val="00566C19"/>
    <w:rsid w:val="0056739D"/>
    <w:rsid w:val="00567C6F"/>
    <w:rsid w:val="00571642"/>
    <w:rsid w:val="0057432D"/>
    <w:rsid w:val="005772C1"/>
    <w:rsid w:val="00582943"/>
    <w:rsid w:val="005834C4"/>
    <w:rsid w:val="00584BE5"/>
    <w:rsid w:val="0058602E"/>
    <w:rsid w:val="00587002"/>
    <w:rsid w:val="00592044"/>
    <w:rsid w:val="00592586"/>
    <w:rsid w:val="00592C81"/>
    <w:rsid w:val="005949B3"/>
    <w:rsid w:val="00595187"/>
    <w:rsid w:val="005951F1"/>
    <w:rsid w:val="00597B76"/>
    <w:rsid w:val="005A0A6A"/>
    <w:rsid w:val="005A2A7F"/>
    <w:rsid w:val="005A3392"/>
    <w:rsid w:val="005A46C7"/>
    <w:rsid w:val="005A4C2E"/>
    <w:rsid w:val="005B1001"/>
    <w:rsid w:val="005B3D19"/>
    <w:rsid w:val="005B45C9"/>
    <w:rsid w:val="005B750D"/>
    <w:rsid w:val="005B7CAD"/>
    <w:rsid w:val="005C1050"/>
    <w:rsid w:val="005C2EE1"/>
    <w:rsid w:val="005C33BE"/>
    <w:rsid w:val="005C4541"/>
    <w:rsid w:val="005C72D2"/>
    <w:rsid w:val="005C7608"/>
    <w:rsid w:val="005D23C7"/>
    <w:rsid w:val="005D6B0F"/>
    <w:rsid w:val="005D6C32"/>
    <w:rsid w:val="005F0AA4"/>
    <w:rsid w:val="005F5D08"/>
    <w:rsid w:val="005F70D3"/>
    <w:rsid w:val="005F71F3"/>
    <w:rsid w:val="00600483"/>
    <w:rsid w:val="0060048D"/>
    <w:rsid w:val="006018F5"/>
    <w:rsid w:val="00601FF1"/>
    <w:rsid w:val="00602EA0"/>
    <w:rsid w:val="00603C2B"/>
    <w:rsid w:val="006126FB"/>
    <w:rsid w:val="00613B22"/>
    <w:rsid w:val="00616BAB"/>
    <w:rsid w:val="00616DBC"/>
    <w:rsid w:val="006176D1"/>
    <w:rsid w:val="006212AB"/>
    <w:rsid w:val="00621D1A"/>
    <w:rsid w:val="00622C6E"/>
    <w:rsid w:val="00632445"/>
    <w:rsid w:val="006325B2"/>
    <w:rsid w:val="00633201"/>
    <w:rsid w:val="00633B53"/>
    <w:rsid w:val="00635CBF"/>
    <w:rsid w:val="00636E5C"/>
    <w:rsid w:val="00637CDB"/>
    <w:rsid w:val="0064296A"/>
    <w:rsid w:val="00651439"/>
    <w:rsid w:val="00651F4B"/>
    <w:rsid w:val="00662B9C"/>
    <w:rsid w:val="00663173"/>
    <w:rsid w:val="006642D8"/>
    <w:rsid w:val="006652B5"/>
    <w:rsid w:val="00667C8F"/>
    <w:rsid w:val="00671C80"/>
    <w:rsid w:val="006726D1"/>
    <w:rsid w:val="00672A64"/>
    <w:rsid w:val="00672D78"/>
    <w:rsid w:val="00673C94"/>
    <w:rsid w:val="00674659"/>
    <w:rsid w:val="006746B8"/>
    <w:rsid w:val="006759C1"/>
    <w:rsid w:val="0067659D"/>
    <w:rsid w:val="00676A6F"/>
    <w:rsid w:val="00677201"/>
    <w:rsid w:val="00677B04"/>
    <w:rsid w:val="00681C18"/>
    <w:rsid w:val="00683416"/>
    <w:rsid w:val="00686EEA"/>
    <w:rsid w:val="00692074"/>
    <w:rsid w:val="00693420"/>
    <w:rsid w:val="00693633"/>
    <w:rsid w:val="0069464D"/>
    <w:rsid w:val="006953A6"/>
    <w:rsid w:val="006A1419"/>
    <w:rsid w:val="006A3814"/>
    <w:rsid w:val="006A444A"/>
    <w:rsid w:val="006A6B82"/>
    <w:rsid w:val="006B0D00"/>
    <w:rsid w:val="006B2488"/>
    <w:rsid w:val="006B4253"/>
    <w:rsid w:val="006B5822"/>
    <w:rsid w:val="006B5B23"/>
    <w:rsid w:val="006B77A8"/>
    <w:rsid w:val="006C04F3"/>
    <w:rsid w:val="006C1CBD"/>
    <w:rsid w:val="006C4420"/>
    <w:rsid w:val="006C4C80"/>
    <w:rsid w:val="006C505B"/>
    <w:rsid w:val="006C5962"/>
    <w:rsid w:val="006C61AF"/>
    <w:rsid w:val="006D07FB"/>
    <w:rsid w:val="006D1DF9"/>
    <w:rsid w:val="006D56ED"/>
    <w:rsid w:val="006D72CD"/>
    <w:rsid w:val="006D7B84"/>
    <w:rsid w:val="006E0CC3"/>
    <w:rsid w:val="006E21FC"/>
    <w:rsid w:val="006F14CB"/>
    <w:rsid w:val="006F27E3"/>
    <w:rsid w:val="006F5FD0"/>
    <w:rsid w:val="006F7877"/>
    <w:rsid w:val="00700305"/>
    <w:rsid w:val="00700A1E"/>
    <w:rsid w:val="007016B4"/>
    <w:rsid w:val="00702816"/>
    <w:rsid w:val="007036C1"/>
    <w:rsid w:val="007072B7"/>
    <w:rsid w:val="007132DA"/>
    <w:rsid w:val="00714926"/>
    <w:rsid w:val="00717C29"/>
    <w:rsid w:val="00717F64"/>
    <w:rsid w:val="00722C52"/>
    <w:rsid w:val="00724A54"/>
    <w:rsid w:val="00724C75"/>
    <w:rsid w:val="007260BF"/>
    <w:rsid w:val="00726987"/>
    <w:rsid w:val="00730769"/>
    <w:rsid w:val="0073086C"/>
    <w:rsid w:val="007351ED"/>
    <w:rsid w:val="007430EB"/>
    <w:rsid w:val="00743FCE"/>
    <w:rsid w:val="007449C8"/>
    <w:rsid w:val="00744F6B"/>
    <w:rsid w:val="0075689D"/>
    <w:rsid w:val="00756AAA"/>
    <w:rsid w:val="007605E4"/>
    <w:rsid w:val="00766410"/>
    <w:rsid w:val="0077158E"/>
    <w:rsid w:val="007742E0"/>
    <w:rsid w:val="00774B7B"/>
    <w:rsid w:val="007774FA"/>
    <w:rsid w:val="00781104"/>
    <w:rsid w:val="00782FE5"/>
    <w:rsid w:val="00793F0B"/>
    <w:rsid w:val="007A15DE"/>
    <w:rsid w:val="007A1F39"/>
    <w:rsid w:val="007A381C"/>
    <w:rsid w:val="007A408A"/>
    <w:rsid w:val="007A586D"/>
    <w:rsid w:val="007A6AE8"/>
    <w:rsid w:val="007B0995"/>
    <w:rsid w:val="007B6F9D"/>
    <w:rsid w:val="007C08F7"/>
    <w:rsid w:val="007C1B60"/>
    <w:rsid w:val="007C393B"/>
    <w:rsid w:val="007C4077"/>
    <w:rsid w:val="007C5CB6"/>
    <w:rsid w:val="007D60E9"/>
    <w:rsid w:val="007E0A97"/>
    <w:rsid w:val="007E2E38"/>
    <w:rsid w:val="007E7750"/>
    <w:rsid w:val="007F07B5"/>
    <w:rsid w:val="007F37EC"/>
    <w:rsid w:val="007F7128"/>
    <w:rsid w:val="00800ED4"/>
    <w:rsid w:val="008022EE"/>
    <w:rsid w:val="00803238"/>
    <w:rsid w:val="008049ED"/>
    <w:rsid w:val="00806D8D"/>
    <w:rsid w:val="00811F3A"/>
    <w:rsid w:val="008123B9"/>
    <w:rsid w:val="00814652"/>
    <w:rsid w:val="008161A4"/>
    <w:rsid w:val="00817EAD"/>
    <w:rsid w:val="00820DA0"/>
    <w:rsid w:val="008247F0"/>
    <w:rsid w:val="00825471"/>
    <w:rsid w:val="00826A88"/>
    <w:rsid w:val="00831D32"/>
    <w:rsid w:val="00831F6A"/>
    <w:rsid w:val="00833CFB"/>
    <w:rsid w:val="008350D4"/>
    <w:rsid w:val="00841341"/>
    <w:rsid w:val="00843415"/>
    <w:rsid w:val="00844B70"/>
    <w:rsid w:val="00846CFA"/>
    <w:rsid w:val="00846DFC"/>
    <w:rsid w:val="00847075"/>
    <w:rsid w:val="00850082"/>
    <w:rsid w:val="00850B14"/>
    <w:rsid w:val="00855533"/>
    <w:rsid w:val="00856CFA"/>
    <w:rsid w:val="0085749C"/>
    <w:rsid w:val="00857581"/>
    <w:rsid w:val="0086052A"/>
    <w:rsid w:val="00860AEA"/>
    <w:rsid w:val="008644BA"/>
    <w:rsid w:val="00872B62"/>
    <w:rsid w:val="00875543"/>
    <w:rsid w:val="008846D8"/>
    <w:rsid w:val="00884DA2"/>
    <w:rsid w:val="00885AE7"/>
    <w:rsid w:val="00886A8E"/>
    <w:rsid w:val="008912FA"/>
    <w:rsid w:val="00891D18"/>
    <w:rsid w:val="0089214B"/>
    <w:rsid w:val="008957EF"/>
    <w:rsid w:val="00896CA9"/>
    <w:rsid w:val="00896D1E"/>
    <w:rsid w:val="008A2D74"/>
    <w:rsid w:val="008A3983"/>
    <w:rsid w:val="008A407A"/>
    <w:rsid w:val="008A5A03"/>
    <w:rsid w:val="008A5B8F"/>
    <w:rsid w:val="008A7054"/>
    <w:rsid w:val="008A7EAE"/>
    <w:rsid w:val="008A7EB2"/>
    <w:rsid w:val="008B144D"/>
    <w:rsid w:val="008B2CBD"/>
    <w:rsid w:val="008B6A23"/>
    <w:rsid w:val="008C0393"/>
    <w:rsid w:val="008C18A9"/>
    <w:rsid w:val="008C1BEC"/>
    <w:rsid w:val="008C2DA4"/>
    <w:rsid w:val="008C394D"/>
    <w:rsid w:val="008C4F37"/>
    <w:rsid w:val="008C5551"/>
    <w:rsid w:val="008C6A68"/>
    <w:rsid w:val="008D1B07"/>
    <w:rsid w:val="008D3931"/>
    <w:rsid w:val="008D45EB"/>
    <w:rsid w:val="008D7C69"/>
    <w:rsid w:val="008E62AC"/>
    <w:rsid w:val="008F0937"/>
    <w:rsid w:val="008F2A17"/>
    <w:rsid w:val="008F3A11"/>
    <w:rsid w:val="008F3A44"/>
    <w:rsid w:val="008F43F9"/>
    <w:rsid w:val="008F7931"/>
    <w:rsid w:val="00900134"/>
    <w:rsid w:val="00901A34"/>
    <w:rsid w:val="009025AC"/>
    <w:rsid w:val="009044B7"/>
    <w:rsid w:val="009052A1"/>
    <w:rsid w:val="00905469"/>
    <w:rsid w:val="00910393"/>
    <w:rsid w:val="009120F9"/>
    <w:rsid w:val="00913B95"/>
    <w:rsid w:val="0091494E"/>
    <w:rsid w:val="00916703"/>
    <w:rsid w:val="00921D80"/>
    <w:rsid w:val="00922A0F"/>
    <w:rsid w:val="00922E75"/>
    <w:rsid w:val="0092471E"/>
    <w:rsid w:val="00924E45"/>
    <w:rsid w:val="00925B4E"/>
    <w:rsid w:val="00925F49"/>
    <w:rsid w:val="009301FC"/>
    <w:rsid w:val="00931911"/>
    <w:rsid w:val="00932B74"/>
    <w:rsid w:val="00933635"/>
    <w:rsid w:val="00935CC6"/>
    <w:rsid w:val="00937D10"/>
    <w:rsid w:val="00940418"/>
    <w:rsid w:val="00941247"/>
    <w:rsid w:val="00941318"/>
    <w:rsid w:val="00941F81"/>
    <w:rsid w:val="009431FF"/>
    <w:rsid w:val="00943FA4"/>
    <w:rsid w:val="009472EC"/>
    <w:rsid w:val="00947D36"/>
    <w:rsid w:val="009544AE"/>
    <w:rsid w:val="009547C9"/>
    <w:rsid w:val="00957579"/>
    <w:rsid w:val="00960B09"/>
    <w:rsid w:val="00962EB1"/>
    <w:rsid w:val="009630A8"/>
    <w:rsid w:val="00963E9B"/>
    <w:rsid w:val="009658F6"/>
    <w:rsid w:val="009666EC"/>
    <w:rsid w:val="00966DAC"/>
    <w:rsid w:val="00970818"/>
    <w:rsid w:val="00977493"/>
    <w:rsid w:val="00983018"/>
    <w:rsid w:val="00985F8E"/>
    <w:rsid w:val="00991326"/>
    <w:rsid w:val="009926B7"/>
    <w:rsid w:val="009935ED"/>
    <w:rsid w:val="009954DF"/>
    <w:rsid w:val="00995D2E"/>
    <w:rsid w:val="009978CC"/>
    <w:rsid w:val="009A1303"/>
    <w:rsid w:val="009A3288"/>
    <w:rsid w:val="009B1129"/>
    <w:rsid w:val="009B2CE0"/>
    <w:rsid w:val="009B4275"/>
    <w:rsid w:val="009C17DD"/>
    <w:rsid w:val="009C1F94"/>
    <w:rsid w:val="009C3140"/>
    <w:rsid w:val="009C4CBB"/>
    <w:rsid w:val="009C5ACD"/>
    <w:rsid w:val="009C73DA"/>
    <w:rsid w:val="009D0BF9"/>
    <w:rsid w:val="009D0E11"/>
    <w:rsid w:val="009D38B4"/>
    <w:rsid w:val="009E25B0"/>
    <w:rsid w:val="009E2768"/>
    <w:rsid w:val="009E3579"/>
    <w:rsid w:val="009E6CD4"/>
    <w:rsid w:val="009F2B3F"/>
    <w:rsid w:val="009F2D2A"/>
    <w:rsid w:val="009F4200"/>
    <w:rsid w:val="009F4B77"/>
    <w:rsid w:val="009F7E4C"/>
    <w:rsid w:val="009F7E85"/>
    <w:rsid w:val="00A050FA"/>
    <w:rsid w:val="00A0747C"/>
    <w:rsid w:val="00A12A19"/>
    <w:rsid w:val="00A144D2"/>
    <w:rsid w:val="00A1701D"/>
    <w:rsid w:val="00A17650"/>
    <w:rsid w:val="00A17BF7"/>
    <w:rsid w:val="00A209B2"/>
    <w:rsid w:val="00A2625A"/>
    <w:rsid w:val="00A26706"/>
    <w:rsid w:val="00A2682C"/>
    <w:rsid w:val="00A3325A"/>
    <w:rsid w:val="00A339C5"/>
    <w:rsid w:val="00A3505E"/>
    <w:rsid w:val="00A35E68"/>
    <w:rsid w:val="00A3727D"/>
    <w:rsid w:val="00A41553"/>
    <w:rsid w:val="00A430E8"/>
    <w:rsid w:val="00A442D0"/>
    <w:rsid w:val="00A4460F"/>
    <w:rsid w:val="00A455AC"/>
    <w:rsid w:val="00A50C86"/>
    <w:rsid w:val="00A5120B"/>
    <w:rsid w:val="00A5202F"/>
    <w:rsid w:val="00A5472B"/>
    <w:rsid w:val="00A564E0"/>
    <w:rsid w:val="00A606DF"/>
    <w:rsid w:val="00A6249C"/>
    <w:rsid w:val="00A669E6"/>
    <w:rsid w:val="00A66BC7"/>
    <w:rsid w:val="00A67FB1"/>
    <w:rsid w:val="00A7006F"/>
    <w:rsid w:val="00A70E87"/>
    <w:rsid w:val="00A7179B"/>
    <w:rsid w:val="00A743C6"/>
    <w:rsid w:val="00A75AA2"/>
    <w:rsid w:val="00A76C81"/>
    <w:rsid w:val="00A81439"/>
    <w:rsid w:val="00A81A78"/>
    <w:rsid w:val="00A81FBA"/>
    <w:rsid w:val="00A8659D"/>
    <w:rsid w:val="00A86B8B"/>
    <w:rsid w:val="00A909D0"/>
    <w:rsid w:val="00A91B37"/>
    <w:rsid w:val="00A972E2"/>
    <w:rsid w:val="00A97DA1"/>
    <w:rsid w:val="00AA2634"/>
    <w:rsid w:val="00AA56F1"/>
    <w:rsid w:val="00AA6762"/>
    <w:rsid w:val="00AA7454"/>
    <w:rsid w:val="00AB348F"/>
    <w:rsid w:val="00AB5DF9"/>
    <w:rsid w:val="00AC0133"/>
    <w:rsid w:val="00AC170A"/>
    <w:rsid w:val="00AC3EBC"/>
    <w:rsid w:val="00AD2FF1"/>
    <w:rsid w:val="00AD33D5"/>
    <w:rsid w:val="00AD34D8"/>
    <w:rsid w:val="00AD3BA0"/>
    <w:rsid w:val="00AD7341"/>
    <w:rsid w:val="00AE0E6C"/>
    <w:rsid w:val="00AE1535"/>
    <w:rsid w:val="00AE240A"/>
    <w:rsid w:val="00AE2A76"/>
    <w:rsid w:val="00AE5518"/>
    <w:rsid w:val="00AE6756"/>
    <w:rsid w:val="00AF2D07"/>
    <w:rsid w:val="00AF359D"/>
    <w:rsid w:val="00AF686E"/>
    <w:rsid w:val="00B00A55"/>
    <w:rsid w:val="00B050D7"/>
    <w:rsid w:val="00B06960"/>
    <w:rsid w:val="00B104C9"/>
    <w:rsid w:val="00B13421"/>
    <w:rsid w:val="00B1442E"/>
    <w:rsid w:val="00B15EA7"/>
    <w:rsid w:val="00B22505"/>
    <w:rsid w:val="00B24EA3"/>
    <w:rsid w:val="00B25BCB"/>
    <w:rsid w:val="00B27BF1"/>
    <w:rsid w:val="00B3147C"/>
    <w:rsid w:val="00B31C44"/>
    <w:rsid w:val="00B346C3"/>
    <w:rsid w:val="00B36AF0"/>
    <w:rsid w:val="00B4053D"/>
    <w:rsid w:val="00B40F1A"/>
    <w:rsid w:val="00B43563"/>
    <w:rsid w:val="00B46173"/>
    <w:rsid w:val="00B4651A"/>
    <w:rsid w:val="00B468D7"/>
    <w:rsid w:val="00B57066"/>
    <w:rsid w:val="00B610D6"/>
    <w:rsid w:val="00B61D52"/>
    <w:rsid w:val="00B622FB"/>
    <w:rsid w:val="00B663B2"/>
    <w:rsid w:val="00B7175C"/>
    <w:rsid w:val="00B74270"/>
    <w:rsid w:val="00B7607A"/>
    <w:rsid w:val="00B8017B"/>
    <w:rsid w:val="00B80FDC"/>
    <w:rsid w:val="00B81BFF"/>
    <w:rsid w:val="00B8260A"/>
    <w:rsid w:val="00B867C3"/>
    <w:rsid w:val="00B86D7A"/>
    <w:rsid w:val="00B8764A"/>
    <w:rsid w:val="00B9085E"/>
    <w:rsid w:val="00B9730C"/>
    <w:rsid w:val="00BA0A6A"/>
    <w:rsid w:val="00BA3979"/>
    <w:rsid w:val="00BA3A02"/>
    <w:rsid w:val="00BA46DA"/>
    <w:rsid w:val="00BA4EEB"/>
    <w:rsid w:val="00BA6206"/>
    <w:rsid w:val="00BA6BD9"/>
    <w:rsid w:val="00BB0353"/>
    <w:rsid w:val="00BB1E01"/>
    <w:rsid w:val="00BB2B30"/>
    <w:rsid w:val="00BB2B5A"/>
    <w:rsid w:val="00BB3511"/>
    <w:rsid w:val="00BB4569"/>
    <w:rsid w:val="00BC10C0"/>
    <w:rsid w:val="00BC1CD8"/>
    <w:rsid w:val="00BC3B28"/>
    <w:rsid w:val="00BD1B81"/>
    <w:rsid w:val="00BD235E"/>
    <w:rsid w:val="00BE1B8B"/>
    <w:rsid w:val="00BE1D1D"/>
    <w:rsid w:val="00BE34F3"/>
    <w:rsid w:val="00BE36E2"/>
    <w:rsid w:val="00BE7D1A"/>
    <w:rsid w:val="00BF3040"/>
    <w:rsid w:val="00BF4FAF"/>
    <w:rsid w:val="00C02402"/>
    <w:rsid w:val="00C106B5"/>
    <w:rsid w:val="00C115CE"/>
    <w:rsid w:val="00C13918"/>
    <w:rsid w:val="00C14E06"/>
    <w:rsid w:val="00C17907"/>
    <w:rsid w:val="00C21174"/>
    <w:rsid w:val="00C2170E"/>
    <w:rsid w:val="00C24BFF"/>
    <w:rsid w:val="00C26EFF"/>
    <w:rsid w:val="00C27287"/>
    <w:rsid w:val="00C301CC"/>
    <w:rsid w:val="00C33785"/>
    <w:rsid w:val="00C3518E"/>
    <w:rsid w:val="00C367B3"/>
    <w:rsid w:val="00C4069A"/>
    <w:rsid w:val="00C41356"/>
    <w:rsid w:val="00C418F7"/>
    <w:rsid w:val="00C444E1"/>
    <w:rsid w:val="00C44B85"/>
    <w:rsid w:val="00C46196"/>
    <w:rsid w:val="00C47147"/>
    <w:rsid w:val="00C5380D"/>
    <w:rsid w:val="00C54776"/>
    <w:rsid w:val="00C554EB"/>
    <w:rsid w:val="00C5737D"/>
    <w:rsid w:val="00C60D59"/>
    <w:rsid w:val="00C63BF1"/>
    <w:rsid w:val="00C6428A"/>
    <w:rsid w:val="00C64296"/>
    <w:rsid w:val="00C74B8A"/>
    <w:rsid w:val="00C80543"/>
    <w:rsid w:val="00C80D9B"/>
    <w:rsid w:val="00C811CC"/>
    <w:rsid w:val="00C82FAA"/>
    <w:rsid w:val="00C83497"/>
    <w:rsid w:val="00C83BE1"/>
    <w:rsid w:val="00C83EA7"/>
    <w:rsid w:val="00C86D55"/>
    <w:rsid w:val="00C901F4"/>
    <w:rsid w:val="00C93597"/>
    <w:rsid w:val="00C97933"/>
    <w:rsid w:val="00CA1CC7"/>
    <w:rsid w:val="00CA282F"/>
    <w:rsid w:val="00CA2D88"/>
    <w:rsid w:val="00CA5546"/>
    <w:rsid w:val="00CB27B9"/>
    <w:rsid w:val="00CB3B9E"/>
    <w:rsid w:val="00CB4E36"/>
    <w:rsid w:val="00CB6845"/>
    <w:rsid w:val="00CB6AB1"/>
    <w:rsid w:val="00CC30B2"/>
    <w:rsid w:val="00CD313D"/>
    <w:rsid w:val="00CD4559"/>
    <w:rsid w:val="00CD577D"/>
    <w:rsid w:val="00CD773E"/>
    <w:rsid w:val="00CE0A87"/>
    <w:rsid w:val="00CE1280"/>
    <w:rsid w:val="00CE1FE8"/>
    <w:rsid w:val="00CE214B"/>
    <w:rsid w:val="00CE2B64"/>
    <w:rsid w:val="00CE4078"/>
    <w:rsid w:val="00CE4277"/>
    <w:rsid w:val="00CE44B3"/>
    <w:rsid w:val="00CE4773"/>
    <w:rsid w:val="00CE783E"/>
    <w:rsid w:val="00CF1237"/>
    <w:rsid w:val="00CF12AA"/>
    <w:rsid w:val="00CF56A7"/>
    <w:rsid w:val="00D0053B"/>
    <w:rsid w:val="00D00B1A"/>
    <w:rsid w:val="00D029EA"/>
    <w:rsid w:val="00D04BE4"/>
    <w:rsid w:val="00D059DB"/>
    <w:rsid w:val="00D061CC"/>
    <w:rsid w:val="00D061FD"/>
    <w:rsid w:val="00D0774F"/>
    <w:rsid w:val="00D117F1"/>
    <w:rsid w:val="00D11E69"/>
    <w:rsid w:val="00D133AD"/>
    <w:rsid w:val="00D13C0D"/>
    <w:rsid w:val="00D13CE8"/>
    <w:rsid w:val="00D16960"/>
    <w:rsid w:val="00D17FB3"/>
    <w:rsid w:val="00D22847"/>
    <w:rsid w:val="00D25EDA"/>
    <w:rsid w:val="00D26203"/>
    <w:rsid w:val="00D3302A"/>
    <w:rsid w:val="00D35AE4"/>
    <w:rsid w:val="00D505D6"/>
    <w:rsid w:val="00D51F35"/>
    <w:rsid w:val="00D53E1A"/>
    <w:rsid w:val="00D558C6"/>
    <w:rsid w:val="00D62CB4"/>
    <w:rsid w:val="00D6555F"/>
    <w:rsid w:val="00D67453"/>
    <w:rsid w:val="00D71DD1"/>
    <w:rsid w:val="00D738DB"/>
    <w:rsid w:val="00D777FC"/>
    <w:rsid w:val="00D80C40"/>
    <w:rsid w:val="00D82538"/>
    <w:rsid w:val="00D82E21"/>
    <w:rsid w:val="00D86C7D"/>
    <w:rsid w:val="00D8748B"/>
    <w:rsid w:val="00D909EE"/>
    <w:rsid w:val="00D93A2A"/>
    <w:rsid w:val="00D941FF"/>
    <w:rsid w:val="00D94463"/>
    <w:rsid w:val="00D94AA3"/>
    <w:rsid w:val="00D95909"/>
    <w:rsid w:val="00D96EEC"/>
    <w:rsid w:val="00DA1420"/>
    <w:rsid w:val="00DA18BF"/>
    <w:rsid w:val="00DA2DA6"/>
    <w:rsid w:val="00DA35DA"/>
    <w:rsid w:val="00DA40A4"/>
    <w:rsid w:val="00DA4672"/>
    <w:rsid w:val="00DA4F6A"/>
    <w:rsid w:val="00DA557F"/>
    <w:rsid w:val="00DA5CE7"/>
    <w:rsid w:val="00DA6616"/>
    <w:rsid w:val="00DB1381"/>
    <w:rsid w:val="00DB13F4"/>
    <w:rsid w:val="00DB3AD8"/>
    <w:rsid w:val="00DB4028"/>
    <w:rsid w:val="00DB5991"/>
    <w:rsid w:val="00DB5BE2"/>
    <w:rsid w:val="00DC0EFA"/>
    <w:rsid w:val="00DC105A"/>
    <w:rsid w:val="00DC21E4"/>
    <w:rsid w:val="00DC2A24"/>
    <w:rsid w:val="00DC4678"/>
    <w:rsid w:val="00DC5E23"/>
    <w:rsid w:val="00DD03CD"/>
    <w:rsid w:val="00DD1D72"/>
    <w:rsid w:val="00DD33DF"/>
    <w:rsid w:val="00DE22BC"/>
    <w:rsid w:val="00DE2B45"/>
    <w:rsid w:val="00DE395A"/>
    <w:rsid w:val="00DE5EFE"/>
    <w:rsid w:val="00DE6AD6"/>
    <w:rsid w:val="00DE7C24"/>
    <w:rsid w:val="00DF403D"/>
    <w:rsid w:val="00DF5086"/>
    <w:rsid w:val="00DF6ED4"/>
    <w:rsid w:val="00E03D41"/>
    <w:rsid w:val="00E05492"/>
    <w:rsid w:val="00E059C3"/>
    <w:rsid w:val="00E06D63"/>
    <w:rsid w:val="00E12263"/>
    <w:rsid w:val="00E20EC5"/>
    <w:rsid w:val="00E23DAF"/>
    <w:rsid w:val="00E259D7"/>
    <w:rsid w:val="00E26522"/>
    <w:rsid w:val="00E312D9"/>
    <w:rsid w:val="00E32686"/>
    <w:rsid w:val="00E32B9E"/>
    <w:rsid w:val="00E33881"/>
    <w:rsid w:val="00E44F57"/>
    <w:rsid w:val="00E45839"/>
    <w:rsid w:val="00E473CF"/>
    <w:rsid w:val="00E508A3"/>
    <w:rsid w:val="00E520FA"/>
    <w:rsid w:val="00E54165"/>
    <w:rsid w:val="00E56375"/>
    <w:rsid w:val="00E65778"/>
    <w:rsid w:val="00E65BD1"/>
    <w:rsid w:val="00E66E5E"/>
    <w:rsid w:val="00E70600"/>
    <w:rsid w:val="00E70FE8"/>
    <w:rsid w:val="00E71F79"/>
    <w:rsid w:val="00E72461"/>
    <w:rsid w:val="00E72830"/>
    <w:rsid w:val="00E74120"/>
    <w:rsid w:val="00E75685"/>
    <w:rsid w:val="00E77D2E"/>
    <w:rsid w:val="00E80080"/>
    <w:rsid w:val="00E813A9"/>
    <w:rsid w:val="00E828D1"/>
    <w:rsid w:val="00E85A4D"/>
    <w:rsid w:val="00E85B46"/>
    <w:rsid w:val="00E87953"/>
    <w:rsid w:val="00E90FE6"/>
    <w:rsid w:val="00E953BA"/>
    <w:rsid w:val="00E9753A"/>
    <w:rsid w:val="00EA0D02"/>
    <w:rsid w:val="00EA2614"/>
    <w:rsid w:val="00EA36C1"/>
    <w:rsid w:val="00EA54B1"/>
    <w:rsid w:val="00EA6393"/>
    <w:rsid w:val="00EA6550"/>
    <w:rsid w:val="00EA6930"/>
    <w:rsid w:val="00EA7AC2"/>
    <w:rsid w:val="00EB15D3"/>
    <w:rsid w:val="00EB5CC6"/>
    <w:rsid w:val="00EC11F7"/>
    <w:rsid w:val="00EC1D7B"/>
    <w:rsid w:val="00EC275D"/>
    <w:rsid w:val="00EC3274"/>
    <w:rsid w:val="00EC6566"/>
    <w:rsid w:val="00ED2C5E"/>
    <w:rsid w:val="00ED2F9A"/>
    <w:rsid w:val="00ED76F3"/>
    <w:rsid w:val="00ED7BB7"/>
    <w:rsid w:val="00EE008A"/>
    <w:rsid w:val="00EE0D86"/>
    <w:rsid w:val="00EE1507"/>
    <w:rsid w:val="00EE4766"/>
    <w:rsid w:val="00EE570F"/>
    <w:rsid w:val="00EE754C"/>
    <w:rsid w:val="00EF0F10"/>
    <w:rsid w:val="00EF16AC"/>
    <w:rsid w:val="00EF3147"/>
    <w:rsid w:val="00EF5EEE"/>
    <w:rsid w:val="00EF78F6"/>
    <w:rsid w:val="00F003D0"/>
    <w:rsid w:val="00F033B2"/>
    <w:rsid w:val="00F060FB"/>
    <w:rsid w:val="00F06682"/>
    <w:rsid w:val="00F0729C"/>
    <w:rsid w:val="00F074E6"/>
    <w:rsid w:val="00F112A3"/>
    <w:rsid w:val="00F12B02"/>
    <w:rsid w:val="00F12B45"/>
    <w:rsid w:val="00F13A82"/>
    <w:rsid w:val="00F14BC4"/>
    <w:rsid w:val="00F1719E"/>
    <w:rsid w:val="00F25133"/>
    <w:rsid w:val="00F30BD9"/>
    <w:rsid w:val="00F35F18"/>
    <w:rsid w:val="00F37E71"/>
    <w:rsid w:val="00F42A1F"/>
    <w:rsid w:val="00F44EC4"/>
    <w:rsid w:val="00F46493"/>
    <w:rsid w:val="00F46C96"/>
    <w:rsid w:val="00F47CC0"/>
    <w:rsid w:val="00F5008E"/>
    <w:rsid w:val="00F51343"/>
    <w:rsid w:val="00F51CED"/>
    <w:rsid w:val="00F533FA"/>
    <w:rsid w:val="00F5716C"/>
    <w:rsid w:val="00F626E2"/>
    <w:rsid w:val="00F63D8F"/>
    <w:rsid w:val="00F66C67"/>
    <w:rsid w:val="00F7712B"/>
    <w:rsid w:val="00F773F8"/>
    <w:rsid w:val="00F8133E"/>
    <w:rsid w:val="00F8412A"/>
    <w:rsid w:val="00F85D39"/>
    <w:rsid w:val="00F91E1F"/>
    <w:rsid w:val="00F92F2F"/>
    <w:rsid w:val="00F96FF4"/>
    <w:rsid w:val="00FA08A0"/>
    <w:rsid w:val="00FA51B2"/>
    <w:rsid w:val="00FA5D40"/>
    <w:rsid w:val="00FB0311"/>
    <w:rsid w:val="00FB03F5"/>
    <w:rsid w:val="00FB1E36"/>
    <w:rsid w:val="00FB243D"/>
    <w:rsid w:val="00FB26D6"/>
    <w:rsid w:val="00FB3395"/>
    <w:rsid w:val="00FB49C6"/>
    <w:rsid w:val="00FC03D7"/>
    <w:rsid w:val="00FC1374"/>
    <w:rsid w:val="00FC241D"/>
    <w:rsid w:val="00FC5E85"/>
    <w:rsid w:val="00FC6173"/>
    <w:rsid w:val="00FC65E9"/>
    <w:rsid w:val="00FC67B2"/>
    <w:rsid w:val="00FC734F"/>
    <w:rsid w:val="00FD126F"/>
    <w:rsid w:val="00FD266F"/>
    <w:rsid w:val="00FD7571"/>
    <w:rsid w:val="00FD7817"/>
    <w:rsid w:val="00FE16F3"/>
    <w:rsid w:val="00FE1C11"/>
    <w:rsid w:val="00FE1E71"/>
    <w:rsid w:val="00FE3DAB"/>
    <w:rsid w:val="00FE4E1F"/>
    <w:rsid w:val="00FE7317"/>
    <w:rsid w:val="00FF0EFD"/>
    <w:rsid w:val="00FF2ABA"/>
    <w:rsid w:val="00FF514A"/>
    <w:rsid w:val="00FF578A"/>
    <w:rsid w:val="00FF7205"/>
    <w:rsid w:val="16C3C38E"/>
    <w:rsid w:val="40311462"/>
    <w:rsid w:val="743A395F"/>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B52F6F6"/>
  <w15:chartTrackingRefBased/>
  <w15:docId w15:val="{A68B6C58-ECEC-4C1A-A0EC-B7C15895FC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A615E"/>
    <w:rPr>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9D69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B90966"/>
    <w:pPr>
      <w:spacing w:before="100" w:beforeAutospacing="1" w:after="100" w:afterAutospacing="1"/>
    </w:pPr>
  </w:style>
  <w:style w:type="paragraph" w:styleId="Encabezado">
    <w:name w:val="header"/>
    <w:basedOn w:val="Normal"/>
    <w:rsid w:val="00F363F1"/>
    <w:pPr>
      <w:tabs>
        <w:tab w:val="center" w:pos="4252"/>
        <w:tab w:val="right" w:pos="8504"/>
      </w:tabs>
    </w:pPr>
  </w:style>
  <w:style w:type="paragraph" w:styleId="Piedepgina">
    <w:name w:val="footer"/>
    <w:basedOn w:val="Normal"/>
    <w:rsid w:val="00F363F1"/>
    <w:pPr>
      <w:tabs>
        <w:tab w:val="center" w:pos="4252"/>
        <w:tab w:val="right" w:pos="8504"/>
      </w:tabs>
    </w:pPr>
  </w:style>
  <w:style w:type="character" w:styleId="Nmerodepgina">
    <w:name w:val="page number"/>
    <w:basedOn w:val="Fuentedeprrafopredeter"/>
    <w:rsid w:val="00F363F1"/>
  </w:style>
  <w:style w:type="paragraph" w:styleId="Textodeglobo">
    <w:name w:val="Balloon Text"/>
    <w:basedOn w:val="Normal"/>
    <w:semiHidden/>
    <w:rsid w:val="00BF0E2F"/>
    <w:rPr>
      <w:rFonts w:ascii="Tahoma" w:hAnsi="Tahoma" w:cs="Tahoma"/>
      <w:sz w:val="16"/>
      <w:szCs w:val="16"/>
    </w:rPr>
  </w:style>
  <w:style w:type="paragraph" w:styleId="Textosinformato">
    <w:name w:val="Plain Text"/>
    <w:basedOn w:val="Normal"/>
    <w:rPr>
      <w:rFonts w:ascii="Courier New" w:hAnsi="Courier New"/>
      <w:sz w:val="20"/>
      <w:szCs w:val="20"/>
      <w:lang w:val="en-US" w:eastAsia="es-MX"/>
    </w:rPr>
  </w:style>
  <w:style w:type="character" w:styleId="Refdecomentario">
    <w:name w:val="annotation reference"/>
    <w:uiPriority w:val="99"/>
    <w:semiHidden/>
    <w:rsid w:val="00D029DA"/>
    <w:rPr>
      <w:sz w:val="16"/>
      <w:szCs w:val="16"/>
    </w:rPr>
  </w:style>
  <w:style w:type="paragraph" w:styleId="Textocomentario">
    <w:name w:val="annotation text"/>
    <w:basedOn w:val="Normal"/>
    <w:link w:val="TextocomentarioCar"/>
    <w:uiPriority w:val="99"/>
    <w:rsid w:val="00D029DA"/>
    <w:rPr>
      <w:sz w:val="20"/>
      <w:szCs w:val="20"/>
    </w:rPr>
  </w:style>
  <w:style w:type="paragraph" w:styleId="Asuntodelcomentario">
    <w:name w:val="annotation subject"/>
    <w:basedOn w:val="Textocomentario"/>
    <w:next w:val="Textocomentario"/>
    <w:semiHidden/>
    <w:rsid w:val="00D029DA"/>
    <w:rPr>
      <w:b/>
      <w:bCs/>
    </w:rPr>
  </w:style>
  <w:style w:type="character" w:customStyle="1" w:styleId="apple-converted-space">
    <w:name w:val="apple-converted-space"/>
    <w:basedOn w:val="Fuentedeprrafopredeter"/>
    <w:rsid w:val="003827BA"/>
  </w:style>
  <w:style w:type="character" w:styleId="Hipervnculo">
    <w:name w:val="Hyperlink"/>
    <w:basedOn w:val="Fuentedeprrafopredeter"/>
    <w:uiPriority w:val="99"/>
    <w:unhideWhenUsed/>
    <w:rsid w:val="003827BA"/>
    <w:rPr>
      <w:color w:val="0000FF"/>
      <w:u w:val="single"/>
    </w:rPr>
  </w:style>
  <w:style w:type="character" w:styleId="Textoennegrita">
    <w:name w:val="Strong"/>
    <w:basedOn w:val="Fuentedeprrafopredeter"/>
    <w:uiPriority w:val="22"/>
    <w:qFormat/>
    <w:rsid w:val="00681C18"/>
    <w:rPr>
      <w:b/>
      <w:bCs/>
    </w:rPr>
  </w:style>
  <w:style w:type="paragraph" w:styleId="Prrafodelista">
    <w:name w:val="List Paragraph"/>
    <w:basedOn w:val="Normal"/>
    <w:uiPriority w:val="34"/>
    <w:qFormat/>
    <w:rsid w:val="00163965"/>
    <w:pPr>
      <w:ind w:left="720"/>
      <w:contextualSpacing/>
    </w:pPr>
  </w:style>
  <w:style w:type="paragraph" w:customStyle="1" w:styleId="show">
    <w:name w:val="show"/>
    <w:basedOn w:val="Normal"/>
    <w:rsid w:val="00683416"/>
    <w:pPr>
      <w:spacing w:before="100" w:beforeAutospacing="1" w:after="100" w:afterAutospacing="1"/>
    </w:pPr>
    <w:rPr>
      <w:rFonts w:eastAsiaTheme="minorEastAsia"/>
      <w:lang w:val="es-CO"/>
    </w:rPr>
  </w:style>
  <w:style w:type="character" w:styleId="nfasis">
    <w:name w:val="Emphasis"/>
    <w:basedOn w:val="Fuentedeprrafopredeter"/>
    <w:uiPriority w:val="20"/>
    <w:qFormat/>
    <w:rsid w:val="00683416"/>
    <w:rPr>
      <w:i/>
      <w:iCs/>
    </w:rPr>
  </w:style>
  <w:style w:type="character" w:customStyle="1" w:styleId="TextocomentarioCar">
    <w:name w:val="Texto comentario Car"/>
    <w:basedOn w:val="Fuentedeprrafopredeter"/>
    <w:link w:val="Textocomentario"/>
    <w:uiPriority w:val="99"/>
    <w:locked/>
    <w:rsid w:val="00686EEA"/>
    <w:rPr>
      <w:lang w:eastAsia="es-ES"/>
    </w:rPr>
  </w:style>
  <w:style w:type="paragraph" w:styleId="Sinespaciado">
    <w:name w:val="No Spacing"/>
    <w:uiPriority w:val="1"/>
    <w:qFormat/>
    <w:rsid w:val="00686EEA"/>
    <w:pPr>
      <w:widowControl w:val="0"/>
      <w:autoSpaceDE w:val="0"/>
      <w:autoSpaceDN w:val="0"/>
      <w:adjustRightInd w:val="0"/>
    </w:pPr>
    <w:rPr>
      <w:rFonts w:ascii="Calibri" w:eastAsia="TimesNewRomanPSMT" w:hAnsi="Calibri"/>
      <w:lang w:val="es-CO" w:eastAsia="es-ES_tradnl"/>
    </w:rPr>
  </w:style>
  <w:style w:type="character" w:customStyle="1" w:styleId="CuerpoCar">
    <w:name w:val="Cuerpo Car"/>
    <w:link w:val="Cuerpo"/>
    <w:locked/>
    <w:rsid w:val="00686EEA"/>
    <w:rPr>
      <w:rFonts w:ascii="Helvetica Neue" w:eastAsia="Arial Unicode MS" w:hAnsi="Helvetica Neue" w:cs="Arial Unicode MS"/>
      <w:color w:val="000000"/>
      <w:sz w:val="22"/>
      <w:szCs w:val="22"/>
      <w:bdr w:val="none" w:sz="0" w:space="0" w:color="auto" w:frame="1"/>
      <w:lang w:eastAsia="es-ES"/>
    </w:rPr>
  </w:style>
  <w:style w:type="paragraph" w:customStyle="1" w:styleId="Cuerpo">
    <w:name w:val="Cuerpo"/>
    <w:link w:val="CuerpoCar"/>
    <w:rsid w:val="00686EEA"/>
    <w:rPr>
      <w:rFonts w:ascii="Helvetica Neue" w:eastAsia="Arial Unicode MS" w:hAnsi="Helvetica Neue" w:cs="Arial Unicode MS"/>
      <w:color w:val="000000"/>
      <w:sz w:val="22"/>
      <w:szCs w:val="22"/>
      <w:bdr w:val="none" w:sz="0" w:space="0" w:color="auto" w:frame="1"/>
      <w:lang w:eastAsia="es-ES"/>
    </w:rPr>
  </w:style>
  <w:style w:type="character" w:customStyle="1" w:styleId="Ninguno">
    <w:name w:val="Ninguno"/>
    <w:rsid w:val="00686EEA"/>
    <w:rPr>
      <w:lang w:val="es-ES_tradnl"/>
    </w:rPr>
  </w:style>
  <w:style w:type="character" w:styleId="Mencinsinresolver">
    <w:name w:val="Unresolved Mention"/>
    <w:basedOn w:val="Fuentedeprrafopredeter"/>
    <w:uiPriority w:val="99"/>
    <w:semiHidden/>
    <w:unhideWhenUsed/>
    <w:rsid w:val="00C44B85"/>
    <w:rPr>
      <w:color w:val="605E5C"/>
      <w:shd w:val="clear" w:color="auto" w:fill="E1DFDD"/>
    </w:rPr>
  </w:style>
  <w:style w:type="character" w:styleId="Hipervnculovisitado">
    <w:name w:val="FollowedHyperlink"/>
    <w:basedOn w:val="Fuentedeprrafopredeter"/>
    <w:rsid w:val="0008439F"/>
    <w:rPr>
      <w:color w:val="954F72" w:themeColor="followedHyperlink"/>
      <w:u w:val="single"/>
    </w:rPr>
  </w:style>
  <w:style w:type="table" w:styleId="Tablaconcuadrculaclara">
    <w:name w:val="Grid Table Light"/>
    <w:basedOn w:val="Tablanormal"/>
    <w:uiPriority w:val="40"/>
    <w:rsid w:val="00020FD6"/>
    <w:rPr>
      <w:rFonts w:asciiTheme="minorHAnsi" w:eastAsiaTheme="minorHAnsi" w:hAnsiTheme="minorHAnsi" w:cstheme="minorBidi"/>
      <w:sz w:val="22"/>
      <w:szCs w:val="22"/>
      <w:lang w:val="es-CO"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anormal2">
    <w:name w:val="Plain Table 2"/>
    <w:basedOn w:val="Tablanormal"/>
    <w:uiPriority w:val="42"/>
    <w:rsid w:val="007072B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Referenciasutil">
    <w:name w:val="Subtle Reference"/>
    <w:aliases w:val="Figuras"/>
    <w:basedOn w:val="Fuentedeprrafopredeter"/>
    <w:uiPriority w:val="31"/>
    <w:qFormat/>
    <w:rsid w:val="00A144D2"/>
    <w:rPr>
      <w:rFonts w:ascii="Times New Roman" w:eastAsiaTheme="majorEastAsia" w:hAnsi="Times New Roman" w:cstheme="majorBidi"/>
      <w:b/>
      <w:caps w:val="0"/>
      <w:smallCaps w:val="0"/>
      <w:color w:val="auto"/>
      <w:sz w:val="24"/>
      <w:szCs w:val="32"/>
      <w:lang w:eastAsia="es-CO"/>
    </w:rPr>
  </w:style>
  <w:style w:type="paragraph" w:styleId="Bibliografa">
    <w:name w:val="Bibliography"/>
    <w:basedOn w:val="Normal"/>
    <w:next w:val="Normal"/>
    <w:uiPriority w:val="37"/>
    <w:unhideWhenUsed/>
    <w:rsid w:val="00855533"/>
    <w:pPr>
      <w:spacing w:after="160" w:line="259" w:lineRule="auto"/>
    </w:pPr>
    <w:rPr>
      <w:rFonts w:asciiTheme="minorHAnsi" w:eastAsiaTheme="minorHAnsi" w:hAnsiTheme="minorHAnsi" w:cstheme="minorBidi"/>
      <w:sz w:val="22"/>
      <w:szCs w:val="22"/>
      <w:lang w:val="es-CO"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2951205">
      <w:bodyDiv w:val="1"/>
      <w:marLeft w:val="0"/>
      <w:marRight w:val="0"/>
      <w:marTop w:val="0"/>
      <w:marBottom w:val="0"/>
      <w:divBdr>
        <w:top w:val="none" w:sz="0" w:space="0" w:color="auto"/>
        <w:left w:val="none" w:sz="0" w:space="0" w:color="auto"/>
        <w:bottom w:val="none" w:sz="0" w:space="0" w:color="auto"/>
        <w:right w:val="none" w:sz="0" w:space="0" w:color="auto"/>
      </w:divBdr>
    </w:div>
    <w:div w:id="567154861">
      <w:bodyDiv w:val="1"/>
      <w:marLeft w:val="0"/>
      <w:marRight w:val="0"/>
      <w:marTop w:val="0"/>
      <w:marBottom w:val="0"/>
      <w:divBdr>
        <w:top w:val="none" w:sz="0" w:space="0" w:color="auto"/>
        <w:left w:val="none" w:sz="0" w:space="0" w:color="auto"/>
        <w:bottom w:val="none" w:sz="0" w:space="0" w:color="auto"/>
        <w:right w:val="none" w:sz="0" w:space="0" w:color="auto"/>
      </w:divBdr>
    </w:div>
    <w:div w:id="905846530">
      <w:bodyDiv w:val="1"/>
      <w:marLeft w:val="0"/>
      <w:marRight w:val="0"/>
      <w:marTop w:val="0"/>
      <w:marBottom w:val="0"/>
      <w:divBdr>
        <w:top w:val="none" w:sz="0" w:space="0" w:color="auto"/>
        <w:left w:val="none" w:sz="0" w:space="0" w:color="auto"/>
        <w:bottom w:val="none" w:sz="0" w:space="0" w:color="auto"/>
        <w:right w:val="none" w:sz="0" w:space="0" w:color="auto"/>
      </w:divBdr>
    </w:div>
    <w:div w:id="1044865261">
      <w:bodyDiv w:val="1"/>
      <w:marLeft w:val="0"/>
      <w:marRight w:val="0"/>
      <w:marTop w:val="0"/>
      <w:marBottom w:val="0"/>
      <w:divBdr>
        <w:top w:val="none" w:sz="0" w:space="0" w:color="auto"/>
        <w:left w:val="none" w:sz="0" w:space="0" w:color="auto"/>
        <w:bottom w:val="none" w:sz="0" w:space="0" w:color="auto"/>
        <w:right w:val="none" w:sz="0" w:space="0" w:color="auto"/>
      </w:divBdr>
    </w:div>
    <w:div w:id="1888100437">
      <w:bodyDiv w:val="1"/>
      <w:marLeft w:val="0"/>
      <w:marRight w:val="0"/>
      <w:marTop w:val="0"/>
      <w:marBottom w:val="0"/>
      <w:divBdr>
        <w:top w:val="none" w:sz="0" w:space="0" w:color="auto"/>
        <w:left w:val="none" w:sz="0" w:space="0" w:color="auto"/>
        <w:bottom w:val="none" w:sz="0" w:space="0" w:color="auto"/>
        <w:right w:val="none" w:sz="0" w:space="0" w:color="auto"/>
      </w:divBdr>
    </w:div>
    <w:div w:id="1978097247">
      <w:bodyDiv w:val="1"/>
      <w:marLeft w:val="0"/>
      <w:marRight w:val="0"/>
      <w:marTop w:val="0"/>
      <w:marBottom w:val="0"/>
      <w:divBdr>
        <w:top w:val="none" w:sz="0" w:space="0" w:color="auto"/>
        <w:left w:val="none" w:sz="0" w:space="0" w:color="auto"/>
        <w:bottom w:val="none" w:sz="0" w:space="0" w:color="auto"/>
        <w:right w:val="none" w:sz="0" w:space="0" w:color="auto"/>
      </w:divBdr>
    </w:div>
    <w:div w:id="2146270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b8930e-0ff9-4f01-8241-b1cfc75a0b7f" xsi:nil="true"/>
    <lcf76f155ced4ddcb4097134ff3c332f xmlns="7cd2d6b2-fcfa-4b75-a254-b6cad437a62c">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b:Source>
    <b:Tag>Ofi23</b:Tag>
    <b:SourceType>InternetSite</b:SourceType>
    <b:Guid>{64CC31C0-B6AE-42A0-9526-F2C885EB4A1B}</b:Guid>
    <b:Author>
      <b:Author>
        <b:Corporate>Oficina de la Abogacía General UNAM</b:Corporate>
      </b:Author>
    </b:Author>
    <b:Title>Reglamento General de Estudios Universitarios </b:Title>
    <b:Year>2023</b:Year>
    <b:Month>Abril</b:Month>
    <b:Day>13</b:Day>
    <b:URL>http://www.abogadogeneral.unam.mx:6060/legislacion/view/68/CR%C3%89DITO</b:URL>
    <b:RefOrder>18</b:RefOrder>
  </b:Source>
  <b:Source>
    <b:Tag>Ins21</b:Tag>
    <b:SourceType>InternetSite</b:SourceType>
    <b:Guid>{8E65E0B0-937A-46A4-B0FC-159391EB950B}</b:Guid>
    <b:Title>Body of knowledge</b:Title>
    <b:Year>2021</b:Year>
    <b:Author>
      <b:Author>
        <b:Corporate>Institute of Industrial &amp; Systems Engineers</b:Corporate>
      </b:Author>
    </b:Author>
    <b:URL>https://www.iise.org/Details.aspx?id=43631</b:URL>
    <b:RefOrder>9</b:RefOrder>
  </b:Source>
  <b:Source>
    <b:Tag>Uni13</b:Tag>
    <b:SourceType>Report</b:SourceType>
    <b:Guid>{E7044342-1EDE-4A1D-8871-6DCD952A31D6}</b:Guid>
    <b:Author>
      <b:Author>
        <b:Corporate>Universidad Nacional de Colombia</b:Corporate>
      </b:Author>
    </b:Author>
    <b:Title>Proyecto Educativo del Programa de Ingeniería Industrial</b:Title>
    <b:Year>2013</b:Year>
    <b:City>Medellín</b:City>
    <b:RefOrder>11</b:RefOrder>
  </b:Source>
</b:Sources>
</file>

<file path=customXml/item4.xml><?xml version="1.0" encoding="utf-8"?>
<ct:contentTypeSchema xmlns:ct="http://schemas.microsoft.com/office/2006/metadata/contentType" xmlns:ma="http://schemas.microsoft.com/office/2006/metadata/properties/metaAttributes" ct:_="" ma:_="" ma:contentTypeName="Documento" ma:contentTypeID="0x010100D0A2F46E93C54940A1D004E4BC7F8FD8" ma:contentTypeVersion="17" ma:contentTypeDescription="Crear nuevo documento." ma:contentTypeScope="" ma:versionID="6543e2c3fa357ab8eb819d18caf2fd43">
  <xsd:schema xmlns:xsd="http://www.w3.org/2001/XMLSchema" xmlns:xs="http://www.w3.org/2001/XMLSchema" xmlns:p="http://schemas.microsoft.com/office/2006/metadata/properties" xmlns:ns2="7cd2d6b2-fcfa-4b75-a254-b6cad437a62c" xmlns:ns3="9679a660-867b-47ec-8a01-bde464aab08a" xmlns:ns4="a0b8930e-0ff9-4f01-8241-b1cfc75a0b7f" targetNamespace="http://schemas.microsoft.com/office/2006/metadata/properties" ma:root="true" ma:fieldsID="fdbe9a8940849582738420f1983b7382" ns2:_="" ns3:_="" ns4:_="">
    <xsd:import namespace="7cd2d6b2-fcfa-4b75-a254-b6cad437a62c"/>
    <xsd:import namespace="9679a660-867b-47ec-8a01-bde464aab08a"/>
    <xsd:import namespace="a0b8930e-0ff9-4f01-8241-b1cfc75a0b7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2:MediaServiceAutoKeyPoints" minOccurs="0"/>
                <xsd:element ref="ns2:MediaServiceKeyPoints"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d2d6b2-fcfa-4b75-a254-b6cad437a62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8d068974-5b92-4f84-9f7a-5b28e50c742c"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679a660-867b-47ec-8a01-bde464aab08a"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b8930e-0ff9-4f01-8241-b1cfc75a0b7f"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f9434dc6-ad94-42a2-b41d-8f8202971092}" ma:internalName="TaxCatchAll" ma:showField="CatchAllData" ma:web="a0b8930e-0ff9-4f01-8241-b1cfc75a0b7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74B949D-F1A5-4552-8770-796C88A0BA1A}">
  <ds:schemaRefs>
    <ds:schemaRef ds:uri="http://schemas.microsoft.com/office/2006/metadata/properties"/>
    <ds:schemaRef ds:uri="http://schemas.microsoft.com/office/infopath/2007/PartnerControls"/>
    <ds:schemaRef ds:uri="a0b8930e-0ff9-4f01-8241-b1cfc75a0b7f"/>
    <ds:schemaRef ds:uri="7cd2d6b2-fcfa-4b75-a254-b6cad437a62c"/>
  </ds:schemaRefs>
</ds:datastoreItem>
</file>

<file path=customXml/itemProps2.xml><?xml version="1.0" encoding="utf-8"?>
<ds:datastoreItem xmlns:ds="http://schemas.openxmlformats.org/officeDocument/2006/customXml" ds:itemID="{1274872E-B5E0-4E4C-87F2-363562ED3F02}">
  <ds:schemaRefs>
    <ds:schemaRef ds:uri="http://schemas.microsoft.com/sharepoint/v3/contenttype/forms"/>
  </ds:schemaRefs>
</ds:datastoreItem>
</file>

<file path=customXml/itemProps3.xml><?xml version="1.0" encoding="utf-8"?>
<ds:datastoreItem xmlns:ds="http://schemas.openxmlformats.org/officeDocument/2006/customXml" ds:itemID="{F42A9EB4-3DBD-4091-BEBF-A73621A30C63}">
  <ds:schemaRefs>
    <ds:schemaRef ds:uri="http://schemas.openxmlformats.org/officeDocument/2006/bibliography"/>
  </ds:schemaRefs>
</ds:datastoreItem>
</file>

<file path=customXml/itemProps4.xml><?xml version="1.0" encoding="utf-8"?>
<ds:datastoreItem xmlns:ds="http://schemas.openxmlformats.org/officeDocument/2006/customXml" ds:itemID="{B44B2F33-CBE2-487B-88B2-C177A777B5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cd2d6b2-fcfa-4b75-a254-b6cad437a62c"/>
    <ds:schemaRef ds:uri="9679a660-867b-47ec-8a01-bde464aab08a"/>
    <ds:schemaRef ds:uri="a0b8930e-0ff9-4f01-8241-b1cfc75a0b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7816</TotalTime>
  <Pages>26</Pages>
  <Words>6417</Words>
  <Characters>35294</Characters>
  <Application>Microsoft Office Word</Application>
  <DocSecurity>0</DocSecurity>
  <Lines>294</Lines>
  <Paragraphs>83</Paragraphs>
  <ScaleCrop>false</ScaleCrop>
  <HeadingPairs>
    <vt:vector size="2" baseType="variant">
      <vt:variant>
        <vt:lpstr>Título</vt:lpstr>
      </vt:variant>
      <vt:variant>
        <vt:i4>1</vt:i4>
      </vt:variant>
    </vt:vector>
  </HeadingPairs>
  <TitlesOfParts>
    <vt:vector size="1" baseType="lpstr">
      <vt:lpstr>FORMATO DE EVALUACIÓN DE MANUSCRITOS </vt:lpstr>
    </vt:vector>
  </TitlesOfParts>
  <Company>PUJ</Company>
  <LinksUpToDate>false</LinksUpToDate>
  <CharactersWithSpaces>41628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FORMATO DE EVALUACIÓN DE MANUSCRITOS </dc:title>
  <dc:subject/>
  <dc:creator>maria.caridad</dc:creator>
  <cp:keywords/>
  <dc:description/>
  <cp:lastModifiedBy>ANGIE LANCHEROS</cp:lastModifiedBy>
  <cp:revision>1499</cp:revision>
  <cp:lastPrinted>2008-03-04T22:11:00Z</cp:lastPrinted>
  <dcterms:created xsi:type="dcterms:W3CDTF">2022-01-18T18:58:00Z</dcterms:created>
  <dcterms:modified xsi:type="dcterms:W3CDTF">2023-10-11T03:28:00Z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0x010100D0A2F46E93C54940A1D004E4BC7F8FD8</vt:lpwstr>
  </property>
</Properties>
</file>